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B0B" w:rsidRPr="00DE5703" w:rsidRDefault="005C5B0B" w:rsidP="00FB49FD">
      <w:pPr>
        <w:jc w:val="center"/>
        <w:rPr>
          <w:b/>
          <w:sz w:val="24"/>
        </w:rPr>
      </w:pPr>
      <w:r w:rsidRPr="00DE5703">
        <w:rPr>
          <w:b/>
          <w:sz w:val="24"/>
        </w:rPr>
        <w:t>Supplementary Material</w:t>
      </w:r>
      <w:r w:rsidR="00FB49FD" w:rsidRPr="00DE5703">
        <w:rPr>
          <w:b/>
          <w:sz w:val="24"/>
        </w:rPr>
        <w:t xml:space="preserve"> for </w:t>
      </w:r>
    </w:p>
    <w:p w:rsidR="004F5CEF" w:rsidRPr="00DE5703" w:rsidRDefault="004F5CEF" w:rsidP="00FB49FD">
      <w:pPr>
        <w:jc w:val="center"/>
        <w:rPr>
          <w:b/>
          <w:sz w:val="24"/>
        </w:rPr>
      </w:pPr>
    </w:p>
    <w:p w:rsidR="005C5B0B" w:rsidRPr="00DE5703" w:rsidRDefault="00FB49FD" w:rsidP="004F5CEF">
      <w:pPr>
        <w:jc w:val="center"/>
        <w:rPr>
          <w:b/>
          <w:sz w:val="24"/>
        </w:rPr>
      </w:pPr>
      <w:r w:rsidRPr="00DE5703">
        <w:rPr>
          <w:b/>
          <w:sz w:val="24"/>
        </w:rPr>
        <w:t>The influence of faulting style on the size-distribution of global earthquakes</w:t>
      </w:r>
    </w:p>
    <w:p w:rsidR="00FB49FD" w:rsidRPr="00DE5703" w:rsidRDefault="00FB49FD" w:rsidP="004F5CEF">
      <w:pPr>
        <w:jc w:val="center"/>
        <w:rPr>
          <w:bCs/>
          <w:i/>
          <w:iCs/>
          <w:sz w:val="24"/>
        </w:rPr>
      </w:pPr>
      <w:r w:rsidRPr="00DE5703">
        <w:rPr>
          <w:bCs/>
          <w:i/>
          <w:iCs/>
          <w:sz w:val="24"/>
        </w:rPr>
        <w:t>A</w:t>
      </w:r>
      <w:r w:rsidR="004F5CEF" w:rsidRPr="00DE5703">
        <w:rPr>
          <w:bCs/>
          <w:i/>
          <w:iCs/>
          <w:sz w:val="24"/>
        </w:rPr>
        <w:t>.</w:t>
      </w:r>
      <w:r w:rsidRPr="00DE5703">
        <w:rPr>
          <w:bCs/>
          <w:i/>
          <w:iCs/>
          <w:sz w:val="24"/>
        </w:rPr>
        <w:t xml:space="preserve"> </w:t>
      </w:r>
      <w:proofErr w:type="spellStart"/>
      <w:r w:rsidRPr="00DE5703">
        <w:rPr>
          <w:bCs/>
          <w:i/>
          <w:iCs/>
          <w:sz w:val="24"/>
        </w:rPr>
        <w:t>Petruccelli</w:t>
      </w:r>
      <w:proofErr w:type="spellEnd"/>
      <w:r w:rsidRPr="00DE5703">
        <w:rPr>
          <w:bCs/>
          <w:i/>
          <w:iCs/>
          <w:sz w:val="24"/>
        </w:rPr>
        <w:t xml:space="preserve">, </w:t>
      </w:r>
      <w:r w:rsidR="004F5CEF" w:rsidRPr="00DE5703">
        <w:rPr>
          <w:bCs/>
          <w:i/>
          <w:iCs/>
          <w:sz w:val="24"/>
        </w:rPr>
        <w:t xml:space="preserve">D. </w:t>
      </w:r>
      <w:proofErr w:type="spellStart"/>
      <w:r w:rsidR="004F5CEF" w:rsidRPr="00DE5703">
        <w:rPr>
          <w:bCs/>
          <w:i/>
          <w:iCs/>
          <w:sz w:val="24"/>
        </w:rPr>
        <w:t>Schorlemmer</w:t>
      </w:r>
      <w:proofErr w:type="spellEnd"/>
      <w:r w:rsidR="004F5CEF" w:rsidRPr="00DE5703">
        <w:rPr>
          <w:bCs/>
          <w:i/>
          <w:iCs/>
          <w:sz w:val="24"/>
        </w:rPr>
        <w:t xml:space="preserve">, T. </w:t>
      </w:r>
      <w:proofErr w:type="spellStart"/>
      <w:r w:rsidR="004F5CEF" w:rsidRPr="00DE5703">
        <w:rPr>
          <w:bCs/>
          <w:i/>
          <w:iCs/>
          <w:sz w:val="24"/>
        </w:rPr>
        <w:t>Tormann</w:t>
      </w:r>
      <w:proofErr w:type="spellEnd"/>
      <w:r w:rsidR="004F5CEF" w:rsidRPr="00DE5703">
        <w:rPr>
          <w:bCs/>
          <w:i/>
          <w:iCs/>
          <w:sz w:val="24"/>
        </w:rPr>
        <w:t xml:space="preserve">, A. P. Rinaldi, S. </w:t>
      </w:r>
      <w:proofErr w:type="spellStart"/>
      <w:r w:rsidR="004F5CEF" w:rsidRPr="00DE5703">
        <w:rPr>
          <w:bCs/>
          <w:i/>
          <w:iCs/>
          <w:sz w:val="24"/>
        </w:rPr>
        <w:t>Wiemer</w:t>
      </w:r>
      <w:proofErr w:type="spellEnd"/>
      <w:r w:rsidR="004F5CEF" w:rsidRPr="00DE5703">
        <w:rPr>
          <w:bCs/>
          <w:i/>
          <w:iCs/>
          <w:sz w:val="24"/>
        </w:rPr>
        <w:t xml:space="preserve">, P. </w:t>
      </w:r>
      <w:proofErr w:type="spellStart"/>
      <w:r w:rsidR="004F5CEF" w:rsidRPr="00DE5703">
        <w:rPr>
          <w:bCs/>
          <w:i/>
          <w:iCs/>
          <w:sz w:val="24"/>
        </w:rPr>
        <w:t>Gasperini</w:t>
      </w:r>
      <w:proofErr w:type="spellEnd"/>
      <w:r w:rsidR="004F5CEF" w:rsidRPr="00DE5703">
        <w:rPr>
          <w:bCs/>
          <w:i/>
          <w:iCs/>
          <w:sz w:val="24"/>
        </w:rPr>
        <w:t xml:space="preserve">, G. </w:t>
      </w:r>
      <w:proofErr w:type="spellStart"/>
      <w:r w:rsidR="004F5CEF" w:rsidRPr="00DE5703">
        <w:rPr>
          <w:bCs/>
          <w:i/>
          <w:iCs/>
          <w:sz w:val="24"/>
        </w:rPr>
        <w:t>Vannucci</w:t>
      </w:r>
      <w:proofErr w:type="spellEnd"/>
    </w:p>
    <w:p w:rsidR="004F5CEF" w:rsidRPr="00DE5703" w:rsidRDefault="00DE5703" w:rsidP="004F5CEF">
      <w:pPr>
        <w:jc w:val="center"/>
        <w:rPr>
          <w:bCs/>
          <w:sz w:val="24"/>
        </w:rPr>
      </w:pPr>
      <w:r w:rsidRPr="00DE5703">
        <w:rPr>
          <w:bCs/>
          <w:sz w:val="24"/>
        </w:rPr>
        <w:t xml:space="preserve">Correspondence: </w:t>
      </w:r>
      <w:hyperlink r:id="rId5" w:history="1">
        <w:r w:rsidRPr="00DE5703">
          <w:rPr>
            <w:rStyle w:val="Collegamentoipertestuale"/>
            <w:bCs/>
            <w:sz w:val="24"/>
          </w:rPr>
          <w:t>antonio.petruccelli@sed.ethz.ch</w:t>
        </w:r>
      </w:hyperlink>
      <w:r w:rsidRPr="00DE5703">
        <w:rPr>
          <w:bCs/>
          <w:sz w:val="24"/>
        </w:rPr>
        <w:t xml:space="preserve"> </w:t>
      </w:r>
    </w:p>
    <w:p w:rsidR="004F5CEF" w:rsidRPr="00DE5703" w:rsidRDefault="008F613B" w:rsidP="004F5CEF">
      <w:pPr>
        <w:jc w:val="center"/>
        <w:rPr>
          <w:b/>
          <w:sz w:val="24"/>
        </w:rPr>
      </w:pPr>
      <w:bookmarkStart w:id="0" w:name="_GoBack"/>
      <w:bookmarkEnd w:id="0"/>
      <w:r w:rsidRPr="00DE5703">
        <w:rPr>
          <w:b/>
          <w:sz w:val="24"/>
        </w:rPr>
        <w:t>Overview</w:t>
      </w:r>
    </w:p>
    <w:p w:rsidR="004F5CEF" w:rsidRPr="00DE5703" w:rsidRDefault="008F613B" w:rsidP="008F613B">
      <w:pPr>
        <w:rPr>
          <w:bCs/>
          <w:sz w:val="24"/>
        </w:rPr>
      </w:pPr>
      <w:r w:rsidRPr="00DE5703">
        <w:rPr>
          <w:bCs/>
          <w:sz w:val="24"/>
        </w:rPr>
        <w:t xml:space="preserve">This file contains Supplementary Figures cited along the main manuscript. See figures captions for a more detailed description. </w:t>
      </w:r>
    </w:p>
    <w:p w:rsidR="008F613B" w:rsidRPr="00DE5703" w:rsidRDefault="008F613B" w:rsidP="004F5CEF">
      <w:pPr>
        <w:jc w:val="center"/>
        <w:rPr>
          <w:b/>
          <w:sz w:val="24"/>
        </w:rPr>
      </w:pPr>
      <w:r w:rsidRPr="00DE5703">
        <w:rPr>
          <w:b/>
          <w:sz w:val="24"/>
        </w:rPr>
        <w:t>Content</w:t>
      </w:r>
    </w:p>
    <w:p w:rsidR="008F613B" w:rsidRPr="00DE5703" w:rsidRDefault="008F613B" w:rsidP="008F613B">
      <w:pPr>
        <w:jc w:val="both"/>
        <w:rPr>
          <w:bCs/>
          <w:sz w:val="24"/>
        </w:rPr>
      </w:pPr>
      <w:r w:rsidRPr="00DE5703">
        <w:rPr>
          <w:b/>
          <w:sz w:val="24"/>
        </w:rPr>
        <w:t xml:space="preserve">Fig. </w:t>
      </w:r>
      <w:r w:rsidR="004F5CEF" w:rsidRPr="00DE5703">
        <w:rPr>
          <w:b/>
          <w:sz w:val="24"/>
        </w:rPr>
        <w:t>S1</w:t>
      </w:r>
      <w:r w:rsidRPr="00DE5703">
        <w:rPr>
          <w:b/>
          <w:sz w:val="24"/>
        </w:rPr>
        <w:t>:</w:t>
      </w:r>
      <w:r w:rsidR="004F5CEF" w:rsidRPr="00DE5703">
        <w:rPr>
          <w:bCs/>
          <w:sz w:val="24"/>
        </w:rPr>
        <w:t xml:space="preserve"> </w:t>
      </w:r>
      <w:r w:rsidRPr="00DE5703">
        <w:rPr>
          <w:bCs/>
          <w:sz w:val="24"/>
        </w:rPr>
        <w:t xml:space="preserve">Empirical </w:t>
      </w:r>
      <w:r w:rsidRPr="00DE5703">
        <w:rPr>
          <w:bCs/>
          <w:sz w:val="24"/>
        </w:rPr>
        <w:t>CDFs</w:t>
      </w:r>
      <w:r w:rsidRPr="00DE5703">
        <w:rPr>
          <w:bCs/>
          <w:sz w:val="24"/>
        </w:rPr>
        <w:t xml:space="preserve"> for the sum residuals of the Fig. 5B.</w:t>
      </w:r>
    </w:p>
    <w:p w:rsidR="008F613B" w:rsidRPr="00DE5703" w:rsidRDefault="008F613B" w:rsidP="008F613B">
      <w:pPr>
        <w:jc w:val="both"/>
        <w:rPr>
          <w:bCs/>
          <w:sz w:val="24"/>
        </w:rPr>
      </w:pPr>
      <w:r w:rsidRPr="00DE5703">
        <w:rPr>
          <w:b/>
          <w:sz w:val="24"/>
        </w:rPr>
        <w:t xml:space="preserve">Fig. </w:t>
      </w:r>
      <w:r w:rsidR="004F5CEF" w:rsidRPr="00DE5703">
        <w:rPr>
          <w:b/>
          <w:sz w:val="24"/>
        </w:rPr>
        <w:t>S</w:t>
      </w:r>
      <w:r w:rsidRPr="00DE5703">
        <w:rPr>
          <w:b/>
          <w:sz w:val="24"/>
        </w:rPr>
        <w:t>2:</w:t>
      </w:r>
      <w:r w:rsidR="004F5CEF" w:rsidRPr="00DE5703">
        <w:rPr>
          <w:b/>
          <w:sz w:val="24"/>
        </w:rPr>
        <w:t xml:space="preserve"> </w:t>
      </w:r>
      <w:r w:rsidRPr="00DE5703">
        <w:rPr>
          <w:bCs/>
          <w:i/>
          <w:iCs/>
          <w:color w:val="000000" w:themeColor="text1"/>
          <w:sz w:val="24"/>
          <w:szCs w:val="24"/>
        </w:rPr>
        <w:t>b</w:t>
      </w:r>
      <w:r w:rsidRPr="00DE5703">
        <w:rPr>
          <w:bCs/>
          <w:color w:val="000000" w:themeColor="text1"/>
          <w:sz w:val="24"/>
          <w:szCs w:val="24"/>
        </w:rPr>
        <w:t xml:space="preserve">-value dependence on rake angle </w:t>
      </w:r>
      <w:r w:rsidRPr="00DE5703">
        <w:rPr>
          <w:rFonts w:ascii="Symbol" w:eastAsia="Symbol" w:hAnsi="Symbol" w:cs="Symbol"/>
          <w:color w:val="000000" w:themeColor="text1"/>
          <w:sz w:val="24"/>
          <w:szCs w:val="24"/>
        </w:rPr>
        <w:t></w:t>
      </w:r>
      <w:r w:rsidRPr="00DE5703">
        <w:rPr>
          <w:bCs/>
          <w:color w:val="000000" w:themeColor="text1"/>
          <w:sz w:val="24"/>
          <w:szCs w:val="24"/>
        </w:rPr>
        <w:t xml:space="preserve"> for different time-</w:t>
      </w:r>
      <w:r w:rsidRPr="00DE5703">
        <w:rPr>
          <w:rFonts w:ascii="Symbol" w:eastAsia="Symbol" w:hAnsi="Symbol" w:cs="Symbol"/>
          <w:bCs/>
          <w:color w:val="000000" w:themeColor="text1"/>
          <w:sz w:val="24"/>
          <w:szCs w:val="24"/>
        </w:rPr>
        <w:t></w:t>
      </w:r>
      <w:r w:rsidRPr="00DE5703">
        <w:rPr>
          <w:bCs/>
          <w:color w:val="000000" w:themeColor="text1"/>
          <w:sz w:val="24"/>
          <w:szCs w:val="24"/>
        </w:rPr>
        <w:t xml:space="preserve"> selections.</w:t>
      </w:r>
    </w:p>
    <w:p w:rsidR="008F613B" w:rsidRPr="00DE5703" w:rsidRDefault="008F613B" w:rsidP="008F613B">
      <w:pPr>
        <w:jc w:val="both"/>
        <w:rPr>
          <w:b/>
          <w:sz w:val="24"/>
        </w:rPr>
      </w:pPr>
      <w:r w:rsidRPr="00DE5703">
        <w:rPr>
          <w:b/>
          <w:sz w:val="24"/>
        </w:rPr>
        <w:t xml:space="preserve">Fig. </w:t>
      </w:r>
      <w:r w:rsidR="004F5CEF" w:rsidRPr="00DE5703">
        <w:rPr>
          <w:b/>
          <w:sz w:val="24"/>
        </w:rPr>
        <w:t>S3</w:t>
      </w:r>
      <w:r w:rsidRPr="00DE5703">
        <w:rPr>
          <w:b/>
          <w:sz w:val="24"/>
        </w:rPr>
        <w:t xml:space="preserve">: </w:t>
      </w:r>
      <w:r w:rsidRPr="00DE5703">
        <w:rPr>
          <w:color w:val="000000" w:themeColor="text1"/>
          <w:sz w:val="24"/>
          <w:szCs w:val="24"/>
        </w:rPr>
        <w:t xml:space="preserve">Ternary </w:t>
      </w:r>
      <w:r w:rsidRPr="00DE5703">
        <w:rPr>
          <w:i/>
          <w:color w:val="000000" w:themeColor="text1"/>
          <w:sz w:val="24"/>
          <w:szCs w:val="24"/>
        </w:rPr>
        <w:t>b</w:t>
      </w:r>
      <w:r w:rsidRPr="00DE5703">
        <w:rPr>
          <w:color w:val="000000" w:themeColor="text1"/>
          <w:sz w:val="24"/>
          <w:szCs w:val="24"/>
        </w:rPr>
        <w:t xml:space="preserve">-value mapping with different number of </w:t>
      </w:r>
      <w:r w:rsidR="00772339" w:rsidRPr="00DE5703">
        <w:rPr>
          <w:color w:val="000000" w:themeColor="text1"/>
          <w:sz w:val="24"/>
          <w:szCs w:val="24"/>
        </w:rPr>
        <w:t>neighbors</w:t>
      </w:r>
      <w:r w:rsidRPr="00DE5703">
        <w:rPr>
          <w:color w:val="000000" w:themeColor="text1"/>
          <w:sz w:val="24"/>
          <w:szCs w:val="24"/>
        </w:rPr>
        <w:t>.</w:t>
      </w:r>
    </w:p>
    <w:p w:rsidR="004F5CEF" w:rsidRPr="00DE5703" w:rsidRDefault="008F613B" w:rsidP="008F613B">
      <w:pPr>
        <w:jc w:val="both"/>
        <w:rPr>
          <w:bCs/>
          <w:sz w:val="24"/>
        </w:rPr>
      </w:pPr>
      <w:r w:rsidRPr="00DE5703">
        <w:rPr>
          <w:b/>
          <w:sz w:val="24"/>
        </w:rPr>
        <w:t xml:space="preserve">Fig. </w:t>
      </w:r>
      <w:r w:rsidR="004F5CEF" w:rsidRPr="00DE5703">
        <w:rPr>
          <w:b/>
          <w:sz w:val="24"/>
        </w:rPr>
        <w:t>S4</w:t>
      </w:r>
      <w:r w:rsidRPr="00DE5703">
        <w:rPr>
          <w:b/>
          <w:sz w:val="24"/>
        </w:rPr>
        <w:t xml:space="preserve">: </w:t>
      </w:r>
      <w:r w:rsidRPr="00DE5703">
        <w:rPr>
          <w:i/>
          <w:iCs/>
          <w:color w:val="000000" w:themeColor="text1"/>
          <w:sz w:val="24"/>
          <w:szCs w:val="24"/>
        </w:rPr>
        <w:t>b</w:t>
      </w:r>
      <w:r w:rsidRPr="00DE5703">
        <w:rPr>
          <w:color w:val="000000" w:themeColor="text1"/>
          <w:sz w:val="24"/>
          <w:szCs w:val="24"/>
        </w:rPr>
        <w:t>-depth analysis for Global CMT and ISC-GEM catalog</w:t>
      </w:r>
      <w:r w:rsidRPr="00DE5703">
        <w:rPr>
          <w:color w:val="000000" w:themeColor="text1"/>
          <w:sz w:val="24"/>
          <w:szCs w:val="24"/>
        </w:rPr>
        <w:t xml:space="preserve">ue. </w:t>
      </w:r>
    </w:p>
    <w:p w:rsidR="004F5CEF" w:rsidRPr="00DE5703" w:rsidRDefault="004F5CEF" w:rsidP="004F5CEF">
      <w:pPr>
        <w:jc w:val="center"/>
        <w:rPr>
          <w:bCs/>
          <w:sz w:val="24"/>
        </w:rPr>
      </w:pPr>
    </w:p>
    <w:p w:rsidR="004F5CEF" w:rsidRPr="00DE5703" w:rsidRDefault="004F5CEF">
      <w:pPr>
        <w:spacing w:after="0" w:line="240" w:lineRule="auto"/>
        <w:rPr>
          <w:bCs/>
          <w:sz w:val="24"/>
        </w:rPr>
      </w:pPr>
      <w:r w:rsidRPr="00DE5703">
        <w:rPr>
          <w:bCs/>
          <w:sz w:val="24"/>
        </w:rPr>
        <w:br w:type="page"/>
      </w:r>
    </w:p>
    <w:p w:rsidR="004F5CEF" w:rsidRPr="00DE5703" w:rsidRDefault="004F5CEF" w:rsidP="004F5CEF">
      <w:pPr>
        <w:jc w:val="center"/>
        <w:rPr>
          <w:bCs/>
          <w:sz w:val="24"/>
        </w:rPr>
      </w:pPr>
    </w:p>
    <w:p w:rsidR="005C5B0B" w:rsidRPr="00DE5703" w:rsidRDefault="005C5B0B" w:rsidP="005C5B0B">
      <w:pPr>
        <w:pStyle w:val="NormaleWeb"/>
        <w:spacing w:before="280" w:after="0"/>
        <w:jc w:val="center"/>
        <w:rPr>
          <w:b/>
          <w:color w:val="000000" w:themeColor="text1"/>
          <w:sz w:val="20"/>
          <w:szCs w:val="20"/>
          <w:lang w:val="en-US"/>
        </w:rPr>
      </w:pPr>
      <w:r w:rsidRPr="00DE5703">
        <w:rPr>
          <w:noProof/>
          <w:lang w:val="en-US" w:eastAsia="en-GB"/>
        </w:rPr>
        <w:drawing>
          <wp:inline distT="0" distB="0" distL="0" distR="0" wp14:anchorId="737A3A0C" wp14:editId="3311D01A">
            <wp:extent cx="3865418" cy="3187412"/>
            <wp:effectExtent l="0" t="0" r="0" b="635"/>
            <wp:docPr id="9" name="Immagine 13" descr="Immagine che contiene mappa, testo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13" descr="Immagine che contiene mappa, testo&#10;&#10;Descrizione generata con affidabilità molto eleva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72" cy="32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B" w:rsidRPr="00DE5703" w:rsidRDefault="005C5B0B" w:rsidP="005C5B0B">
      <w:pPr>
        <w:pStyle w:val="NormaleWeb"/>
        <w:spacing w:before="280" w:after="0"/>
        <w:jc w:val="both"/>
        <w:rPr>
          <w:color w:val="000000" w:themeColor="text1"/>
          <w:sz w:val="20"/>
          <w:szCs w:val="20"/>
          <w:lang w:val="en-US"/>
        </w:rPr>
      </w:pPr>
      <w:r w:rsidRPr="00DE5703">
        <w:rPr>
          <w:b/>
          <w:color w:val="000000" w:themeColor="text1"/>
          <w:sz w:val="20"/>
          <w:szCs w:val="20"/>
          <w:lang w:val="en-US"/>
        </w:rPr>
        <w:t>Figure S1</w:t>
      </w:r>
      <w:r w:rsidRPr="00DE5703">
        <w:rPr>
          <w:color w:val="000000" w:themeColor="text1"/>
          <w:sz w:val="20"/>
          <w:szCs w:val="20"/>
          <w:lang w:val="en-US"/>
        </w:rPr>
        <w:t>. Empirical cumulative density functions (</w:t>
      </w:r>
      <w:proofErr w:type="spellStart"/>
      <w:r w:rsidRPr="00DE5703">
        <w:rPr>
          <w:color w:val="000000" w:themeColor="text1"/>
          <w:sz w:val="20"/>
          <w:szCs w:val="20"/>
          <w:lang w:val="en-US"/>
        </w:rPr>
        <w:t>Cdf</w:t>
      </w:r>
      <w:proofErr w:type="spellEnd"/>
      <w:r w:rsidRPr="00DE5703">
        <w:rPr>
          <w:color w:val="000000" w:themeColor="text1"/>
          <w:sz w:val="20"/>
          <w:szCs w:val="20"/>
          <w:lang w:val="en-US"/>
        </w:rPr>
        <w:t xml:space="preserve">) for the sum residuals of the Fig. 5B (γ=40°) data with respect to a constant b=1 model (grey) and to S2005 (black) data. The two curves are significantly different at 0.01.  </w:t>
      </w:r>
    </w:p>
    <w:p w:rsidR="005C5B0B" w:rsidRPr="00DE5703" w:rsidRDefault="005C5B0B">
      <w:pPr>
        <w:spacing w:after="0" w:line="240" w:lineRule="auto"/>
        <w:rPr>
          <w:rFonts w:eastAsia="Times New Roman"/>
          <w:color w:val="2F5496"/>
          <w:sz w:val="24"/>
          <w:szCs w:val="24"/>
          <w:lang w:eastAsia="it-IT"/>
        </w:rPr>
      </w:pPr>
      <w:r w:rsidRPr="00DE5703">
        <w:rPr>
          <w:color w:val="2F5496"/>
        </w:rPr>
        <w:br w:type="page"/>
      </w:r>
    </w:p>
    <w:p w:rsidR="005C5B0B" w:rsidRPr="00DE5703" w:rsidRDefault="005C5B0B" w:rsidP="005C5B0B">
      <w:pPr>
        <w:pStyle w:val="NormaleWeb"/>
        <w:spacing w:before="280" w:after="0"/>
        <w:jc w:val="both"/>
        <w:rPr>
          <w:color w:val="2F5496"/>
          <w:lang w:val="en-US"/>
        </w:rPr>
      </w:pPr>
    </w:p>
    <w:p w:rsidR="005C5B0B" w:rsidRPr="00DE5703" w:rsidRDefault="005C5B0B" w:rsidP="005C5B0B">
      <w:pPr>
        <w:pStyle w:val="NormaleWeb"/>
        <w:spacing w:before="280" w:after="0"/>
        <w:jc w:val="center"/>
        <w:rPr>
          <w:b/>
          <w:bCs/>
          <w:color w:val="000000" w:themeColor="text1"/>
          <w:sz w:val="20"/>
          <w:szCs w:val="20"/>
          <w:lang w:val="en-US"/>
        </w:rPr>
      </w:pPr>
      <w:r w:rsidRPr="00DE5703">
        <w:rPr>
          <w:noProof/>
          <w:lang w:val="en-US" w:eastAsia="en-GB"/>
        </w:rPr>
        <w:drawing>
          <wp:inline distT="0" distB="0" distL="0" distR="0" wp14:anchorId="4D694518" wp14:editId="5A8C86C7">
            <wp:extent cx="5763491" cy="3775154"/>
            <wp:effectExtent l="0" t="0" r="2540" b="0"/>
            <wp:docPr id="10" name="Immagine 8" descr="Immagine che contiene testo, mappa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8" descr="Immagine che contiene testo, mappa&#10;&#10;Descrizione generata con affidabilità molto elevat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93" cy="381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B" w:rsidRPr="00DE5703" w:rsidRDefault="005C5B0B" w:rsidP="005C5B0B">
      <w:pPr>
        <w:pStyle w:val="NormaleWeb"/>
        <w:spacing w:before="280" w:after="0"/>
        <w:jc w:val="both"/>
        <w:rPr>
          <w:color w:val="000000" w:themeColor="text1"/>
          <w:sz w:val="20"/>
          <w:szCs w:val="20"/>
          <w:lang w:val="en-US"/>
        </w:rPr>
      </w:pPr>
      <w:r w:rsidRPr="00DE5703">
        <w:rPr>
          <w:b/>
          <w:bCs/>
          <w:color w:val="000000" w:themeColor="text1"/>
          <w:sz w:val="20"/>
          <w:szCs w:val="20"/>
          <w:lang w:val="en-US"/>
        </w:rPr>
        <w:t>Figure S2</w:t>
      </w:r>
      <w:r w:rsidRPr="00DE5703">
        <w:rPr>
          <w:bCs/>
          <w:color w:val="000000" w:themeColor="text1"/>
          <w:sz w:val="20"/>
          <w:szCs w:val="20"/>
          <w:lang w:val="en-US"/>
        </w:rPr>
        <w:t xml:space="preserve">. Frames of the </w:t>
      </w:r>
      <w:r w:rsidRPr="00DE5703">
        <w:rPr>
          <w:bCs/>
          <w:i/>
          <w:iCs/>
          <w:color w:val="000000" w:themeColor="text1"/>
          <w:sz w:val="20"/>
          <w:szCs w:val="20"/>
          <w:lang w:val="en-US"/>
        </w:rPr>
        <w:t>b</w:t>
      </w:r>
      <w:r w:rsidRPr="00DE5703">
        <w:rPr>
          <w:bCs/>
          <w:color w:val="000000" w:themeColor="text1"/>
          <w:sz w:val="20"/>
          <w:szCs w:val="20"/>
          <w:lang w:val="en-US"/>
        </w:rPr>
        <w:t xml:space="preserve">-value dependence on rake angle </w:t>
      </w:r>
      <w:r w:rsidRPr="00DE5703">
        <w:rPr>
          <w:rFonts w:ascii="Symbol" w:eastAsia="Symbol" w:hAnsi="Symbol" w:cs="Symbol"/>
          <w:color w:val="000000" w:themeColor="text1"/>
          <w:sz w:val="20"/>
          <w:szCs w:val="20"/>
          <w:lang w:val="en-US"/>
        </w:rPr>
        <w:t></w:t>
      </w:r>
      <w:r w:rsidRPr="00DE5703">
        <w:rPr>
          <w:bCs/>
          <w:color w:val="000000" w:themeColor="text1"/>
          <w:sz w:val="20"/>
          <w:szCs w:val="20"/>
          <w:lang w:val="en-US"/>
        </w:rPr>
        <w:t xml:space="preserve"> for different time-</w:t>
      </w:r>
      <w:r w:rsidRPr="00DE5703">
        <w:rPr>
          <w:rFonts w:ascii="Symbol" w:eastAsia="Symbol" w:hAnsi="Symbol" w:cs="Symbol"/>
          <w:bCs/>
          <w:color w:val="000000" w:themeColor="text1"/>
          <w:sz w:val="20"/>
          <w:szCs w:val="20"/>
          <w:lang w:val="en-US"/>
        </w:rPr>
        <w:t></w:t>
      </w:r>
      <w:r w:rsidRPr="00DE5703">
        <w:rPr>
          <w:bCs/>
          <w:color w:val="000000" w:themeColor="text1"/>
          <w:sz w:val="20"/>
          <w:szCs w:val="20"/>
          <w:lang w:val="en-US"/>
        </w:rPr>
        <w:t xml:space="preserve"> selections (1980–2016, </w:t>
      </w:r>
      <w:r w:rsidRPr="00DE5703">
        <w:rPr>
          <w:rFonts w:ascii="Symbol" w:eastAsia="Symbol" w:hAnsi="Symbol" w:cs="Symbol"/>
          <w:bCs/>
          <w:color w:val="000000" w:themeColor="text1"/>
          <w:sz w:val="20"/>
          <w:szCs w:val="20"/>
          <w:lang w:val="en-US"/>
        </w:rPr>
        <w:t>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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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</w:t>
      </w:r>
      <w:r w:rsidRPr="00DE5703">
        <w:rPr>
          <w:rFonts w:ascii="Cambria Math" w:hAnsi="Cambria Math"/>
          <w:bCs/>
          <w:color w:val="000000" w:themeColor="text1"/>
          <w:sz w:val="20"/>
          <w:szCs w:val="20"/>
          <w:lang w:val="en-US"/>
        </w:rPr>
        <w:t>±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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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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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</w:t>
      </w:r>
      <w:r w:rsidRPr="00DE5703">
        <w:rPr>
          <w:rFonts w:ascii="Cambria Math" w:hAnsi="Cambria Math"/>
          <w:bCs/>
          <w:color w:val="000000" w:themeColor="text1"/>
          <w:sz w:val="20"/>
          <w:szCs w:val="20"/>
          <w:lang w:val="en-US"/>
        </w:rPr>
        <w:t>±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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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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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</w:t>
      </w:r>
      <w:r w:rsidRPr="00DE5703">
        <w:rPr>
          <w:rFonts w:ascii="Cambria Math" w:hAnsi="Cambria Math"/>
          <w:bCs/>
          <w:color w:val="000000" w:themeColor="text1"/>
          <w:sz w:val="20"/>
          <w:szCs w:val="20"/>
          <w:lang w:val="en-US"/>
        </w:rPr>
        <w:t>±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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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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</w:t>
      </w:r>
      <w:r w:rsidRPr="00DE5703">
        <w:rPr>
          <w:bCs/>
          <w:color w:val="000000" w:themeColor="text1"/>
          <w:sz w:val="20"/>
          <w:szCs w:val="20"/>
          <w:lang w:val="en-US"/>
        </w:rPr>
        <w:t xml:space="preserve"> common of depth = 0–50 km). </w:t>
      </w:r>
      <w:r w:rsidRPr="00DE5703">
        <w:rPr>
          <w:color w:val="000000" w:themeColor="text1"/>
          <w:sz w:val="20"/>
          <w:szCs w:val="20"/>
          <w:lang w:val="en-US"/>
        </w:rPr>
        <w:t xml:space="preserve">Rows show different periods while columns refer to different </w:t>
      </w:r>
      <w:r w:rsidRPr="00DE5703">
        <w:rPr>
          <w:rFonts w:ascii="Symbol" w:eastAsia="Symbol" w:hAnsi="Symbol" w:cs="Symbol"/>
          <w:bCs/>
          <w:color w:val="000000" w:themeColor="text1"/>
          <w:sz w:val="20"/>
          <w:szCs w:val="20"/>
          <w:lang w:val="en-US"/>
        </w:rPr>
        <w:t></w:t>
      </w:r>
      <w:r w:rsidRPr="00DE5703">
        <w:rPr>
          <w:color w:val="000000" w:themeColor="text1"/>
          <w:sz w:val="20"/>
          <w:szCs w:val="20"/>
          <w:lang w:val="en-US"/>
        </w:rPr>
        <w:t xml:space="preserve"> value (showed as a horizontal black error bar </w:t>
      </w:r>
      <w:proofErr w:type="spellStart"/>
      <w:r w:rsidRPr="00DE5703">
        <w:rPr>
          <w:color w:val="000000" w:themeColor="text1"/>
          <w:sz w:val="20"/>
          <w:szCs w:val="20"/>
          <w:lang w:val="en-US"/>
        </w:rPr>
        <w:t>centred</w:t>
      </w:r>
      <w:proofErr w:type="spellEnd"/>
      <w:r w:rsidRPr="00DE5703">
        <w:rPr>
          <w:color w:val="000000" w:themeColor="text1"/>
          <w:sz w:val="20"/>
          <w:szCs w:val="20"/>
          <w:lang w:val="en-US"/>
        </w:rPr>
        <w:t xml:space="preserve"> at λ = -90°). Grey </w:t>
      </w:r>
      <w:r w:rsidRPr="00DE5703">
        <w:rPr>
          <w:i/>
          <w:color w:val="000000" w:themeColor="text1"/>
          <w:sz w:val="20"/>
          <w:szCs w:val="20"/>
          <w:lang w:val="en-US"/>
        </w:rPr>
        <w:t>b</w:t>
      </w:r>
      <w:r w:rsidRPr="00DE5703">
        <w:rPr>
          <w:color w:val="000000" w:themeColor="text1"/>
          <w:sz w:val="20"/>
          <w:szCs w:val="20"/>
          <w:lang w:val="en-US"/>
        </w:rPr>
        <w:t>-λ dependence from the original</w:t>
      </w:r>
      <w:r w:rsidRPr="00DE5703">
        <w:rPr>
          <w:color w:val="000000" w:themeColor="text1"/>
          <w:sz w:val="20"/>
          <w:szCs w:val="20"/>
          <w:vertAlign w:val="superscript"/>
          <w:lang w:val="en-US"/>
        </w:rPr>
        <w:t xml:space="preserve"> </w:t>
      </w:r>
      <w:r w:rsidRPr="00DE5703">
        <w:rPr>
          <w:color w:val="000000" w:themeColor="text1"/>
          <w:sz w:val="20"/>
          <w:szCs w:val="20"/>
          <w:lang w:val="en-US"/>
        </w:rPr>
        <w:t xml:space="preserve">(1980–2004, </w:t>
      </w:r>
      <w:r w:rsidRPr="00DE5703">
        <w:rPr>
          <w:rFonts w:ascii="Symbol" w:eastAsia="Symbol" w:hAnsi="Symbol" w:cs="Symbol"/>
          <w:bCs/>
          <w:color w:val="000000" w:themeColor="text1"/>
          <w:sz w:val="20"/>
          <w:szCs w:val="20"/>
          <w:lang w:val="en-US"/>
        </w:rPr>
        <w:t>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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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</w:t>
      </w:r>
      <w:r w:rsidRPr="00DE5703">
        <w:rPr>
          <w:rFonts w:ascii="Cambria Math" w:hAnsi="Cambria Math"/>
          <w:bCs/>
          <w:color w:val="000000" w:themeColor="text1"/>
          <w:sz w:val="20"/>
          <w:szCs w:val="20"/>
          <w:lang w:val="en-US"/>
        </w:rPr>
        <w:t>±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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</w:t>
      </w:r>
      <w:r w:rsidRPr="00DE5703">
        <w:rPr>
          <w:rFonts w:ascii="Symbol" w:hAnsi="Symbol"/>
          <w:bCs/>
          <w:color w:val="000000" w:themeColor="text1"/>
          <w:sz w:val="20"/>
          <w:szCs w:val="20"/>
          <w:lang w:val="en-US"/>
        </w:rPr>
        <w:t></w:t>
      </w:r>
      <w:r w:rsidRPr="00DE5703">
        <w:rPr>
          <w:color w:val="000000" w:themeColor="text1"/>
          <w:sz w:val="20"/>
          <w:szCs w:val="20"/>
          <w:lang w:val="en-US"/>
        </w:rPr>
        <w:t xml:space="preserve">) is in the background. Horizontal grey line refers to mean </w:t>
      </w:r>
      <w:r w:rsidRPr="00DE5703">
        <w:rPr>
          <w:i/>
          <w:iCs/>
          <w:color w:val="000000" w:themeColor="text1"/>
          <w:sz w:val="20"/>
          <w:szCs w:val="20"/>
          <w:lang w:val="en-US"/>
        </w:rPr>
        <w:t>b</w:t>
      </w:r>
      <w:r w:rsidRPr="00DE5703">
        <w:rPr>
          <w:color w:val="000000" w:themeColor="text1"/>
          <w:sz w:val="20"/>
          <w:szCs w:val="20"/>
          <w:lang w:val="en-US"/>
        </w:rPr>
        <w:t>-value for the specific time-</w:t>
      </w:r>
      <w:r w:rsidRPr="00DE5703">
        <w:rPr>
          <w:rFonts w:ascii="Symbol" w:eastAsia="Symbol" w:hAnsi="Symbol" w:cs="Symbol"/>
          <w:bCs/>
          <w:color w:val="000000" w:themeColor="text1"/>
          <w:sz w:val="20"/>
          <w:szCs w:val="20"/>
          <w:lang w:val="en-US"/>
        </w:rPr>
        <w:t></w:t>
      </w:r>
      <w:r w:rsidRPr="00DE5703">
        <w:rPr>
          <w:color w:val="000000" w:themeColor="text1"/>
          <w:sz w:val="20"/>
          <w:szCs w:val="20"/>
          <w:lang w:val="en-US"/>
        </w:rPr>
        <w:t xml:space="preserve"> subset. Inset upper panels are the analyses for the second nodal plane. </w:t>
      </w:r>
    </w:p>
    <w:p w:rsidR="005C5B0B" w:rsidRPr="00DE5703" w:rsidRDefault="005C5B0B" w:rsidP="005C5B0B">
      <w:pPr>
        <w:pStyle w:val="NormaleWeb"/>
        <w:spacing w:before="280" w:after="0"/>
        <w:jc w:val="both"/>
        <w:rPr>
          <w:color w:val="2F5496"/>
          <w:lang w:val="en-US"/>
        </w:rPr>
      </w:pPr>
    </w:p>
    <w:p w:rsidR="005C5B0B" w:rsidRPr="00DE5703" w:rsidRDefault="005C5B0B" w:rsidP="005C5B0B">
      <w:pPr>
        <w:widowControl w:val="0"/>
        <w:ind w:left="640" w:hanging="640"/>
        <w:rPr>
          <w:rFonts w:eastAsia="Times New Roman"/>
          <w:b/>
          <w:sz w:val="24"/>
          <w:szCs w:val="24"/>
        </w:rPr>
      </w:pPr>
      <w:r w:rsidRPr="00DE5703">
        <w:rPr>
          <w:rFonts w:eastAsia="Times New Roman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5C1B710F" wp14:editId="23CD3474">
            <wp:extent cx="6400800" cy="6407441"/>
            <wp:effectExtent l="0" t="0" r="0" b="6350"/>
            <wp:docPr id="15" name="Immagine 1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iang_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606" cy="641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B" w:rsidRPr="00DE5703" w:rsidRDefault="005C5B0B" w:rsidP="005C5B0B">
      <w:pPr>
        <w:pStyle w:val="Heading-Main"/>
        <w:jc w:val="both"/>
        <w:rPr>
          <w:b w:val="0"/>
          <w:color w:val="000000" w:themeColor="text1"/>
          <w:sz w:val="20"/>
          <w:szCs w:val="20"/>
        </w:rPr>
      </w:pPr>
      <w:r w:rsidRPr="00DE5703">
        <w:rPr>
          <w:color w:val="000000" w:themeColor="text1"/>
          <w:sz w:val="20"/>
          <w:szCs w:val="20"/>
        </w:rPr>
        <w:t>Figure S3</w:t>
      </w:r>
      <w:r w:rsidRPr="00DE5703">
        <w:rPr>
          <w:b w:val="0"/>
          <w:color w:val="000000" w:themeColor="text1"/>
          <w:sz w:val="20"/>
          <w:szCs w:val="20"/>
        </w:rPr>
        <w:t xml:space="preserve">. Ternary </w:t>
      </w:r>
      <w:r w:rsidRPr="00DE5703">
        <w:rPr>
          <w:b w:val="0"/>
          <w:i/>
          <w:color w:val="000000" w:themeColor="text1"/>
          <w:sz w:val="20"/>
          <w:szCs w:val="20"/>
        </w:rPr>
        <w:t>b</w:t>
      </w:r>
      <w:r w:rsidRPr="00DE5703">
        <w:rPr>
          <w:b w:val="0"/>
          <w:color w:val="000000" w:themeColor="text1"/>
          <w:sz w:val="20"/>
          <w:szCs w:val="20"/>
        </w:rPr>
        <w:t xml:space="preserve">-value mapping with different number of </w:t>
      </w:r>
      <w:proofErr w:type="spellStart"/>
      <w:r w:rsidRPr="00DE5703">
        <w:rPr>
          <w:b w:val="0"/>
          <w:color w:val="000000" w:themeColor="text1"/>
          <w:sz w:val="20"/>
          <w:szCs w:val="20"/>
        </w:rPr>
        <w:t>neighbours</w:t>
      </w:r>
      <w:proofErr w:type="spellEnd"/>
      <w:r w:rsidRPr="00DE5703">
        <w:rPr>
          <w:b w:val="0"/>
          <w:color w:val="000000" w:themeColor="text1"/>
          <w:sz w:val="20"/>
          <w:szCs w:val="20"/>
        </w:rPr>
        <w:t xml:space="preserve"> N (from 200 to 1000). </w:t>
      </w:r>
    </w:p>
    <w:p w:rsidR="005C5B0B" w:rsidRPr="00DE5703" w:rsidRDefault="005C5B0B" w:rsidP="005C5B0B">
      <w:pPr>
        <w:widowControl w:val="0"/>
        <w:ind w:left="640" w:hanging="640"/>
        <w:rPr>
          <w:rFonts w:eastAsia="Times New Roman"/>
          <w:b/>
          <w:sz w:val="24"/>
          <w:szCs w:val="24"/>
        </w:rPr>
      </w:pPr>
    </w:p>
    <w:p w:rsidR="005C5B0B" w:rsidRPr="00DE5703" w:rsidRDefault="005C5B0B" w:rsidP="005C5B0B">
      <w:pPr>
        <w:pStyle w:val="Heading-Main"/>
        <w:jc w:val="both"/>
        <w:rPr>
          <w:b w:val="0"/>
          <w:color w:val="000000" w:themeColor="text1"/>
          <w:sz w:val="20"/>
          <w:szCs w:val="20"/>
        </w:rPr>
      </w:pPr>
      <w:r w:rsidRPr="00DE5703">
        <w:rPr>
          <w:b w:val="0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261FE1D" wp14:editId="545E6C4F">
            <wp:extent cx="5727904" cy="5742176"/>
            <wp:effectExtent l="0" t="0" r="0" b="0"/>
            <wp:docPr id="3" name="Immagine 3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c_dept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27" cy="574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B0B" w:rsidRPr="00DE5703" w:rsidRDefault="005C5B0B" w:rsidP="005C5B0B">
      <w:pPr>
        <w:pStyle w:val="Heading-Main"/>
        <w:jc w:val="both"/>
        <w:rPr>
          <w:b w:val="0"/>
          <w:color w:val="000000" w:themeColor="text1"/>
          <w:sz w:val="20"/>
          <w:szCs w:val="20"/>
        </w:rPr>
      </w:pPr>
      <w:r w:rsidRPr="00DE5703">
        <w:rPr>
          <w:bCs w:val="0"/>
          <w:color w:val="000000" w:themeColor="text1"/>
          <w:sz w:val="20"/>
          <w:szCs w:val="20"/>
        </w:rPr>
        <w:t xml:space="preserve">Fig. S4. </w:t>
      </w:r>
      <w:r w:rsidRPr="00DE5703">
        <w:rPr>
          <w:b w:val="0"/>
          <w:color w:val="000000" w:themeColor="text1"/>
          <w:sz w:val="20"/>
          <w:szCs w:val="20"/>
        </w:rPr>
        <w:t xml:space="preserve">Jointed </w:t>
      </w:r>
      <w:r w:rsidRPr="00DE5703">
        <w:rPr>
          <w:b w:val="0"/>
          <w:i/>
          <w:iCs/>
          <w:color w:val="000000" w:themeColor="text1"/>
          <w:sz w:val="20"/>
          <w:szCs w:val="20"/>
        </w:rPr>
        <w:t>b</w:t>
      </w:r>
      <w:r w:rsidRPr="00DE5703">
        <w:rPr>
          <w:b w:val="0"/>
          <w:color w:val="000000" w:themeColor="text1"/>
          <w:sz w:val="20"/>
          <w:szCs w:val="20"/>
        </w:rPr>
        <w:t>-depth analysis for Global CMT (red) and ISC-GEM catalog (blue) (</w:t>
      </w:r>
      <w:proofErr w:type="spellStart"/>
      <w:r w:rsidRPr="00DE5703">
        <w:rPr>
          <w:b w:val="0"/>
          <w:color w:val="000000" w:themeColor="text1"/>
          <w:sz w:val="20"/>
          <w:szCs w:val="20"/>
        </w:rPr>
        <w:t>Storchak</w:t>
      </w:r>
      <w:proofErr w:type="spellEnd"/>
      <w:r w:rsidRPr="00DE5703">
        <w:rPr>
          <w:b w:val="0"/>
          <w:color w:val="000000" w:themeColor="text1"/>
          <w:sz w:val="20"/>
          <w:szCs w:val="20"/>
        </w:rPr>
        <w:t xml:space="preserve"> et al., 2013, 2015; Di Giacomo et al., 2018), data from 1980-2016 in the first 50 km. </w:t>
      </w:r>
      <w:r w:rsidRPr="00DE5703">
        <w:rPr>
          <w:b w:val="0"/>
          <w:i/>
          <w:iCs/>
          <w:color w:val="000000" w:themeColor="text1"/>
          <w:sz w:val="20"/>
          <w:szCs w:val="20"/>
        </w:rPr>
        <w:t>Left, top</w:t>
      </w:r>
      <w:r w:rsidRPr="00DE5703">
        <w:rPr>
          <w:b w:val="0"/>
          <w:color w:val="000000" w:themeColor="text1"/>
          <w:sz w:val="20"/>
          <w:szCs w:val="20"/>
        </w:rPr>
        <w:t xml:space="preserve">: frequency-magnitude distribution of ISC-GEM dataset, Mc (6.1) indicated as a dotted vertical line, overall </w:t>
      </w:r>
      <w:r w:rsidRPr="00DE5703">
        <w:rPr>
          <w:b w:val="0"/>
          <w:i/>
          <w:iCs/>
          <w:color w:val="000000" w:themeColor="text1"/>
          <w:sz w:val="20"/>
          <w:szCs w:val="20"/>
        </w:rPr>
        <w:t>b</w:t>
      </w:r>
      <w:r w:rsidRPr="00DE5703">
        <w:rPr>
          <w:b w:val="0"/>
          <w:color w:val="000000" w:themeColor="text1"/>
          <w:sz w:val="20"/>
          <w:szCs w:val="20"/>
        </w:rPr>
        <w:t xml:space="preserve">-value (~0.98) indicated with a solid line. </w:t>
      </w:r>
      <w:r w:rsidRPr="00DE5703">
        <w:rPr>
          <w:b w:val="0"/>
          <w:i/>
          <w:iCs/>
          <w:color w:val="000000" w:themeColor="text1"/>
          <w:sz w:val="20"/>
          <w:szCs w:val="20"/>
        </w:rPr>
        <w:t>Left, bottom</w:t>
      </w:r>
      <w:r w:rsidRPr="00DE5703">
        <w:rPr>
          <w:b w:val="0"/>
          <w:color w:val="000000" w:themeColor="text1"/>
          <w:sz w:val="20"/>
          <w:szCs w:val="20"/>
        </w:rPr>
        <w:t xml:space="preserve">: depth distribution (sampling bin 1 km). Right: </w:t>
      </w:r>
      <w:r w:rsidRPr="00DE5703">
        <w:rPr>
          <w:b w:val="0"/>
          <w:i/>
          <w:iCs/>
          <w:color w:val="000000" w:themeColor="text1"/>
          <w:sz w:val="20"/>
          <w:szCs w:val="20"/>
        </w:rPr>
        <w:t>b</w:t>
      </w:r>
      <w:r w:rsidRPr="00DE5703">
        <w:rPr>
          <w:b w:val="0"/>
          <w:color w:val="000000" w:themeColor="text1"/>
          <w:sz w:val="20"/>
          <w:szCs w:val="20"/>
        </w:rPr>
        <w:t xml:space="preserve">-value – depth sampling (5 km width windows, </w:t>
      </w:r>
      <w:r w:rsidRPr="00DE5703">
        <w:rPr>
          <w:b w:val="0"/>
          <w:i/>
          <w:iCs/>
          <w:color w:val="000000" w:themeColor="text1"/>
          <w:sz w:val="20"/>
          <w:szCs w:val="20"/>
        </w:rPr>
        <w:t>b</w:t>
      </w:r>
      <w:r w:rsidRPr="00DE5703">
        <w:rPr>
          <w:b w:val="0"/>
          <w:color w:val="000000" w:themeColor="text1"/>
          <w:sz w:val="20"/>
          <w:szCs w:val="20"/>
        </w:rPr>
        <w:t xml:space="preserve">-values estimated using Equation (1) with a minimum threshold of 50 events) for ISC-GEM and GCMT dataset. Horizontal dashed lines correspond to the chosen depths for the modeling part (see main text). </w:t>
      </w:r>
    </w:p>
    <w:p w:rsidR="005C5B0B" w:rsidRPr="00DE5703" w:rsidRDefault="005C5B0B">
      <w:pPr>
        <w:spacing w:after="0" w:line="240" w:lineRule="auto"/>
        <w:rPr>
          <w:rFonts w:eastAsia="Times New Roman"/>
          <w:bCs/>
          <w:color w:val="000000" w:themeColor="text1"/>
        </w:rPr>
      </w:pPr>
      <w:r w:rsidRPr="00DE5703">
        <w:rPr>
          <w:b/>
          <w:color w:val="000000" w:themeColor="text1"/>
        </w:rPr>
        <w:br w:type="page"/>
      </w:r>
    </w:p>
    <w:p w:rsidR="005C5B0B" w:rsidRPr="00DE5703" w:rsidRDefault="005C5B0B" w:rsidP="005C5B0B">
      <w:pPr>
        <w:pStyle w:val="Heading-Main"/>
        <w:jc w:val="both"/>
        <w:rPr>
          <w:bCs w:val="0"/>
          <w:color w:val="000000" w:themeColor="text1"/>
          <w:sz w:val="20"/>
          <w:szCs w:val="20"/>
        </w:rPr>
      </w:pPr>
      <w:r w:rsidRPr="00DE5703">
        <w:rPr>
          <w:bCs w:val="0"/>
          <w:color w:val="000000" w:themeColor="text1"/>
          <w:sz w:val="20"/>
          <w:szCs w:val="20"/>
        </w:rPr>
        <w:lastRenderedPageBreak/>
        <w:t xml:space="preserve">References </w:t>
      </w:r>
    </w:p>
    <w:p w:rsidR="005C5B0B" w:rsidRPr="00DE5703" w:rsidRDefault="005C5B0B" w:rsidP="005C5B0B">
      <w:pPr>
        <w:widowControl w:val="0"/>
        <w:autoSpaceDE w:val="0"/>
        <w:autoSpaceDN w:val="0"/>
        <w:adjustRightInd w:val="0"/>
        <w:ind w:left="480" w:hanging="480"/>
        <w:rPr>
          <w:noProof/>
        </w:rPr>
      </w:pPr>
      <w:r w:rsidRPr="00DE5703">
        <w:rPr>
          <w:noProof/>
        </w:rPr>
        <w:t>Di Giacomo, D., Engdahl, E.R., Storchak, D.A., 2018. The ISC-GEM Earthquake Catalogue (1904–2014): status after the Extension Project. Earth Syst. Sci. Data 10, 1877–1899. https://doi.org/10.5194/essd-10-1877-2018</w:t>
      </w:r>
    </w:p>
    <w:p w:rsidR="005C5B0B" w:rsidRPr="00DE5703" w:rsidRDefault="005C5B0B" w:rsidP="005C5B0B">
      <w:pPr>
        <w:widowControl w:val="0"/>
        <w:autoSpaceDE w:val="0"/>
        <w:autoSpaceDN w:val="0"/>
        <w:adjustRightInd w:val="0"/>
        <w:ind w:left="480" w:hanging="480"/>
        <w:rPr>
          <w:noProof/>
        </w:rPr>
      </w:pPr>
      <w:r w:rsidRPr="00DE5703">
        <w:rPr>
          <w:noProof/>
        </w:rPr>
        <w:t>Storchak, D.A., Di Giacomo, D., Bondar, I., Engdahl, E.R., Harris, J., Lee, W.H.K., Villasenor, A., Bormann, P., 2013. Public Release of the ISC-GEM Global Instrumental Earthquake Catalogue (1900-2009). Seismol. Res. Lett. 84, 810–815. https://doi.org/10.1785/0220130034</w:t>
      </w:r>
    </w:p>
    <w:p w:rsidR="005C5B0B" w:rsidRPr="00DE5703" w:rsidRDefault="005C5B0B" w:rsidP="005C5B0B">
      <w:pPr>
        <w:widowControl w:val="0"/>
        <w:autoSpaceDE w:val="0"/>
        <w:autoSpaceDN w:val="0"/>
        <w:adjustRightInd w:val="0"/>
        <w:ind w:left="480" w:hanging="480"/>
        <w:rPr>
          <w:noProof/>
        </w:rPr>
      </w:pPr>
      <w:r w:rsidRPr="00DE5703">
        <w:rPr>
          <w:noProof/>
        </w:rPr>
        <w:t>Storchak, D.A., Di Giacomo, D., Engdahl, E.R., Harris, J., Bondár, I., Lee, W.H.K., Bormann, P., Villaseñor, A., 2015. The ISC-GEM Global Instrumental Earthquake Catalogue (1900–2009): Introduction. Phys. Earth Planet. Inter. 239, 48–63. https://doi.org/10.1016/J.PEPI.2014.06.009</w:t>
      </w:r>
    </w:p>
    <w:p w:rsidR="005C5B0B" w:rsidRPr="00DE5703" w:rsidRDefault="005C5B0B" w:rsidP="005C5B0B">
      <w:pPr>
        <w:widowControl w:val="0"/>
        <w:autoSpaceDE w:val="0"/>
        <w:autoSpaceDN w:val="0"/>
        <w:adjustRightInd w:val="0"/>
        <w:ind w:left="480" w:hanging="480"/>
        <w:rPr>
          <w:noProof/>
        </w:rPr>
      </w:pPr>
    </w:p>
    <w:p w:rsidR="005C5B0B" w:rsidRPr="00DE5703" w:rsidRDefault="005C5B0B" w:rsidP="004F5CEF">
      <w:pPr>
        <w:spacing w:beforeAutospacing="1"/>
        <w:rPr>
          <w:rFonts w:eastAsia="Times New Roman"/>
          <w:color w:val="000000" w:themeColor="text1"/>
          <w:lang w:eastAsia="it-IT"/>
        </w:rPr>
      </w:pPr>
    </w:p>
    <w:p w:rsidR="00917D5A" w:rsidRPr="00DE5703" w:rsidRDefault="00772339"/>
    <w:sectPr w:rsidR="00917D5A" w:rsidRPr="00DE5703" w:rsidSect="002F1022">
      <w:pgSz w:w="11900" w:h="16840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FF33A2"/>
    <w:multiLevelType w:val="hybridMultilevel"/>
    <w:tmpl w:val="154AFB6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0B"/>
    <w:rsid w:val="00023E81"/>
    <w:rsid w:val="00124F0F"/>
    <w:rsid w:val="002E05E1"/>
    <w:rsid w:val="003309F9"/>
    <w:rsid w:val="0047224F"/>
    <w:rsid w:val="004F5CEF"/>
    <w:rsid w:val="005C5B0B"/>
    <w:rsid w:val="00772339"/>
    <w:rsid w:val="008F613B"/>
    <w:rsid w:val="00A613F9"/>
    <w:rsid w:val="00A863C7"/>
    <w:rsid w:val="00DE5703"/>
    <w:rsid w:val="00F26DCA"/>
    <w:rsid w:val="00FB49FD"/>
    <w:rsid w:val="00FD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ED055F"/>
  <w14:defaultImageDpi w14:val="32767"/>
  <w15:chartTrackingRefBased/>
  <w15:docId w15:val="{13E1DDA6-3230-6442-8EE8-F3CE392A4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5C5B0B"/>
    <w:pPr>
      <w:spacing w:after="160" w:line="480" w:lineRule="auto"/>
    </w:pPr>
    <w:rPr>
      <w:rFonts w:ascii="Times New Roman" w:eastAsia="Calibri" w:hAnsi="Times New Roman" w:cs="Times New Roman"/>
      <w:color w:val="00000A"/>
      <w:sz w:val="20"/>
      <w:szCs w:val="20"/>
      <w:lang w:val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-Main">
    <w:name w:val="Heading-Main"/>
    <w:basedOn w:val="Normale"/>
    <w:qFormat/>
    <w:rsid w:val="005C5B0B"/>
    <w:pPr>
      <w:keepNext/>
      <w:suppressAutoHyphens/>
      <w:spacing w:before="240" w:after="120"/>
      <w:textAlignment w:val="baseline"/>
    </w:pPr>
    <w:rPr>
      <w:rFonts w:eastAsia="Times New Roman"/>
      <w:b/>
      <w:bCs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5C5B0B"/>
    <w:pPr>
      <w:spacing w:beforeAutospacing="1" w:after="119"/>
    </w:pPr>
    <w:rPr>
      <w:rFonts w:eastAsia="Times New Roman"/>
      <w:sz w:val="24"/>
      <w:szCs w:val="24"/>
      <w:lang w:val="it-IT" w:eastAsia="it-IT"/>
    </w:rPr>
  </w:style>
  <w:style w:type="character" w:styleId="Numeroriga">
    <w:name w:val="line number"/>
    <w:basedOn w:val="Carpredefinitoparagrafo"/>
    <w:uiPriority w:val="99"/>
    <w:semiHidden/>
    <w:unhideWhenUsed/>
    <w:rsid w:val="005C5B0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49FD"/>
    <w:pPr>
      <w:spacing w:after="0" w:line="240" w:lineRule="auto"/>
    </w:pPr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49FD"/>
    <w:rPr>
      <w:rFonts w:ascii="Times New Roman" w:eastAsia="Calibri" w:hAnsi="Times New Roman" w:cs="Times New Roman"/>
      <w:color w:val="00000A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FB49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E570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DE57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antonio.petruccelli@sed.ethz.ch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Petruccelli</dc:creator>
  <cp:keywords/>
  <dc:description/>
  <cp:lastModifiedBy>Antonio Petruccelli - antonio.petruccelli3@studio.unibo.it</cp:lastModifiedBy>
  <cp:revision>6</cp:revision>
  <dcterms:created xsi:type="dcterms:W3CDTF">2019-08-19T15:21:00Z</dcterms:created>
  <dcterms:modified xsi:type="dcterms:W3CDTF">2019-08-28T12:49:00Z</dcterms:modified>
</cp:coreProperties>
</file>