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D0B7" w14:textId="2E86B064" w:rsidR="005572E9" w:rsidRPr="00567F15" w:rsidRDefault="00A444FD" w:rsidP="00567F15">
      <w:pPr>
        <w:jc w:val="center"/>
        <w:rPr>
          <w:b/>
          <w:sz w:val="28"/>
          <w:szCs w:val="28"/>
          <w:lang w:val="it-IT"/>
        </w:rPr>
      </w:pPr>
      <w:proofErr w:type="spellStart"/>
      <w:r w:rsidRPr="009924EA">
        <w:rPr>
          <w:b/>
          <w:i/>
          <w:sz w:val="28"/>
          <w:szCs w:val="28"/>
          <w:lang w:val="it-IT"/>
        </w:rPr>
        <w:t>Early</w:t>
      </w:r>
      <w:proofErr w:type="spellEnd"/>
      <w:r w:rsidRPr="009924EA">
        <w:rPr>
          <w:b/>
          <w:i/>
          <w:sz w:val="28"/>
          <w:szCs w:val="28"/>
          <w:lang w:val="it-IT"/>
        </w:rPr>
        <w:t xml:space="preserve"> </w:t>
      </w:r>
      <w:proofErr w:type="spellStart"/>
      <w:r w:rsidRPr="009924EA">
        <w:rPr>
          <w:b/>
          <w:i/>
          <w:sz w:val="28"/>
          <w:szCs w:val="28"/>
          <w:lang w:val="it-IT"/>
        </w:rPr>
        <w:t>aftershocks</w:t>
      </w:r>
      <w:proofErr w:type="spellEnd"/>
      <w:r w:rsidR="00997541" w:rsidRPr="00567F15">
        <w:rPr>
          <w:b/>
          <w:sz w:val="28"/>
          <w:szCs w:val="28"/>
          <w:lang w:val="it-IT"/>
        </w:rPr>
        <w:t xml:space="preserve"> dei terremoti</w:t>
      </w:r>
      <w:r w:rsidR="00481C58">
        <w:rPr>
          <w:b/>
          <w:sz w:val="28"/>
          <w:szCs w:val="28"/>
          <w:lang w:val="it-IT"/>
        </w:rPr>
        <w:t>:</w:t>
      </w:r>
      <w:r w:rsidR="005572E9" w:rsidRPr="00567F15">
        <w:rPr>
          <w:b/>
          <w:sz w:val="28"/>
          <w:szCs w:val="28"/>
          <w:lang w:val="it-IT"/>
        </w:rPr>
        <w:t xml:space="preserve"> </w:t>
      </w:r>
      <w:proofErr w:type="spellStart"/>
      <w:r w:rsidR="005572E9" w:rsidRPr="00567F15">
        <w:rPr>
          <w:b/>
          <w:sz w:val="28"/>
          <w:szCs w:val="28"/>
          <w:lang w:val="it-IT"/>
        </w:rPr>
        <w:t>Mw</w:t>
      </w:r>
      <w:proofErr w:type="spellEnd"/>
      <w:r w:rsidR="005572E9" w:rsidRPr="00567F15">
        <w:rPr>
          <w:b/>
          <w:sz w:val="28"/>
          <w:szCs w:val="28"/>
          <w:lang w:val="it-IT"/>
        </w:rPr>
        <w:t xml:space="preserve"> 6.0 Amatrice, </w:t>
      </w:r>
      <w:proofErr w:type="spellStart"/>
      <w:r w:rsidR="005572E9" w:rsidRPr="00567F15">
        <w:rPr>
          <w:b/>
          <w:sz w:val="28"/>
          <w:szCs w:val="28"/>
          <w:lang w:val="it-IT"/>
        </w:rPr>
        <w:t>Mw</w:t>
      </w:r>
      <w:proofErr w:type="spellEnd"/>
      <w:r w:rsidR="005572E9" w:rsidRPr="00567F15">
        <w:rPr>
          <w:b/>
          <w:sz w:val="28"/>
          <w:szCs w:val="28"/>
          <w:lang w:val="it-IT"/>
        </w:rPr>
        <w:t xml:space="preserve"> 5.9 Visso e </w:t>
      </w:r>
      <w:proofErr w:type="spellStart"/>
      <w:r w:rsidR="005572E9" w:rsidRPr="00567F15">
        <w:rPr>
          <w:b/>
          <w:sz w:val="28"/>
          <w:szCs w:val="28"/>
          <w:lang w:val="it-IT"/>
        </w:rPr>
        <w:t>Mw</w:t>
      </w:r>
      <w:proofErr w:type="spellEnd"/>
      <w:r w:rsidR="005572E9" w:rsidRPr="00567F15">
        <w:rPr>
          <w:b/>
          <w:sz w:val="28"/>
          <w:szCs w:val="28"/>
          <w:lang w:val="it-IT"/>
        </w:rPr>
        <w:t xml:space="preserve"> 6.5</w:t>
      </w:r>
      <w:r w:rsidR="00567F15">
        <w:rPr>
          <w:b/>
          <w:sz w:val="28"/>
          <w:szCs w:val="28"/>
          <w:lang w:val="it-IT"/>
        </w:rPr>
        <w:t xml:space="preserve"> </w:t>
      </w:r>
      <w:r w:rsidR="005572E9" w:rsidRPr="00567F15">
        <w:rPr>
          <w:b/>
          <w:sz w:val="28"/>
          <w:szCs w:val="28"/>
          <w:lang w:val="it-IT"/>
        </w:rPr>
        <w:t xml:space="preserve">Norcia </w:t>
      </w:r>
    </w:p>
    <w:p w14:paraId="346AD7BF" w14:textId="77777777" w:rsidR="00997541" w:rsidRDefault="00997541" w:rsidP="005572E9">
      <w:pPr>
        <w:rPr>
          <w:lang w:val="it-IT"/>
        </w:rPr>
      </w:pPr>
    </w:p>
    <w:p w14:paraId="01E37702" w14:textId="0565ABFC" w:rsidR="005572E9" w:rsidRPr="005572E9" w:rsidRDefault="00752499" w:rsidP="005572E9">
      <w:pPr>
        <w:rPr>
          <w:lang w:val="it-IT"/>
        </w:rPr>
      </w:pPr>
      <w:r>
        <w:rPr>
          <w:lang w:val="it-IT"/>
        </w:rPr>
        <w:t>D.</w:t>
      </w:r>
      <w:r w:rsidR="00997541" w:rsidRPr="005572E9">
        <w:rPr>
          <w:lang w:val="it-IT"/>
        </w:rPr>
        <w:t xml:space="preserve"> </w:t>
      </w:r>
      <w:proofErr w:type="spellStart"/>
      <w:r w:rsidR="00997541" w:rsidRPr="005572E9">
        <w:rPr>
          <w:lang w:val="it-IT"/>
        </w:rPr>
        <w:t>Latorre</w:t>
      </w:r>
      <w:proofErr w:type="spellEnd"/>
      <w:r w:rsidR="00997541" w:rsidRPr="005572E9">
        <w:rPr>
          <w:lang w:val="it-IT"/>
        </w:rPr>
        <w:t>,</w:t>
      </w:r>
      <w:r w:rsidR="00997541">
        <w:rPr>
          <w:lang w:val="it-IT"/>
        </w:rPr>
        <w:t xml:space="preserve"> </w:t>
      </w:r>
      <w:r>
        <w:rPr>
          <w:lang w:val="it-IT"/>
        </w:rPr>
        <w:t>L.</w:t>
      </w:r>
      <w:r w:rsidR="00997541" w:rsidRPr="005572E9">
        <w:rPr>
          <w:lang w:val="it-IT"/>
        </w:rPr>
        <w:t xml:space="preserve"> </w:t>
      </w:r>
      <w:proofErr w:type="spellStart"/>
      <w:r w:rsidR="00997541" w:rsidRPr="005572E9">
        <w:rPr>
          <w:lang w:val="it-IT"/>
        </w:rPr>
        <w:t>Improta</w:t>
      </w:r>
      <w:proofErr w:type="spellEnd"/>
      <w:r w:rsidR="00997541">
        <w:rPr>
          <w:lang w:val="it-IT"/>
        </w:rPr>
        <w:t xml:space="preserve">, </w:t>
      </w:r>
      <w:r w:rsidRPr="00752BE6">
        <w:rPr>
          <w:u w:val="single"/>
          <w:lang w:val="it-IT"/>
        </w:rPr>
        <w:t>L.</w:t>
      </w:r>
      <w:r w:rsidR="005572E9" w:rsidRPr="00752BE6">
        <w:rPr>
          <w:u w:val="single"/>
          <w:lang w:val="it-IT"/>
        </w:rPr>
        <w:t xml:space="preserve"> Margheriti</w:t>
      </w:r>
      <w:r w:rsidR="00752BE6">
        <w:rPr>
          <w:lang w:val="it-IT"/>
        </w:rPr>
        <w:t>, A.</w:t>
      </w:r>
      <w:r w:rsidR="005572E9" w:rsidRPr="005572E9">
        <w:rPr>
          <w:lang w:val="it-IT"/>
        </w:rPr>
        <w:t xml:space="preserve"> Marchetti, </w:t>
      </w:r>
      <w:r w:rsidR="00752BE6">
        <w:rPr>
          <w:lang w:val="it-IT"/>
        </w:rPr>
        <w:t>A.</w:t>
      </w:r>
      <w:r w:rsidR="00F5395B" w:rsidRPr="005572E9">
        <w:rPr>
          <w:lang w:val="it-IT"/>
        </w:rPr>
        <w:t xml:space="preserve"> Nardi, </w:t>
      </w:r>
      <w:r w:rsidR="00752BE6">
        <w:rPr>
          <w:lang w:val="it-IT"/>
        </w:rPr>
        <w:t>B.</w:t>
      </w:r>
      <w:r w:rsidR="00997541" w:rsidRPr="005572E9">
        <w:rPr>
          <w:lang w:val="it-IT"/>
        </w:rPr>
        <w:t xml:space="preserve"> Castello,</w:t>
      </w:r>
      <w:r w:rsidR="00997541">
        <w:rPr>
          <w:lang w:val="it-IT"/>
        </w:rPr>
        <w:t xml:space="preserve"> </w:t>
      </w:r>
      <w:r w:rsidR="00752BE6">
        <w:rPr>
          <w:lang w:val="it-IT"/>
        </w:rPr>
        <w:t>A. M.</w:t>
      </w:r>
      <w:r w:rsidR="00997541">
        <w:rPr>
          <w:lang w:val="it-IT"/>
        </w:rPr>
        <w:t xml:space="preserve"> Lombardi, </w:t>
      </w:r>
      <w:r w:rsidR="00752BE6">
        <w:rPr>
          <w:lang w:val="it-IT"/>
        </w:rPr>
        <w:t xml:space="preserve">F.M. </w:t>
      </w:r>
      <w:r w:rsidR="005572E9" w:rsidRPr="005572E9">
        <w:rPr>
          <w:lang w:val="it-IT"/>
        </w:rPr>
        <w:t xml:space="preserve">Mele, </w:t>
      </w:r>
      <w:r w:rsidR="00752BE6">
        <w:rPr>
          <w:lang w:val="it-IT"/>
        </w:rPr>
        <w:t>M. G.</w:t>
      </w:r>
      <w:r w:rsidR="00997541" w:rsidRPr="005572E9">
        <w:rPr>
          <w:lang w:val="it-IT"/>
        </w:rPr>
        <w:t xml:space="preserve"> Ciaccio, </w:t>
      </w:r>
      <w:r w:rsidR="00752BE6">
        <w:rPr>
          <w:lang w:val="it-IT"/>
        </w:rPr>
        <w:t xml:space="preserve">M. </w:t>
      </w:r>
      <w:r w:rsidR="00997541">
        <w:rPr>
          <w:lang w:val="it-IT"/>
        </w:rPr>
        <w:t>Moretti</w:t>
      </w:r>
      <w:r w:rsidR="00752BE6">
        <w:rPr>
          <w:lang w:val="it-IT"/>
        </w:rPr>
        <w:t xml:space="preserve">, </w:t>
      </w:r>
      <w:r w:rsidR="00997541" w:rsidRPr="005572E9">
        <w:rPr>
          <w:lang w:val="it-IT"/>
        </w:rPr>
        <w:t xml:space="preserve">Gruppo di lavoro </w:t>
      </w:r>
      <w:r w:rsidR="00997541">
        <w:rPr>
          <w:lang w:val="it-IT"/>
        </w:rPr>
        <w:t xml:space="preserve">del </w:t>
      </w:r>
      <w:r w:rsidR="005572E9" w:rsidRPr="005572E9">
        <w:rPr>
          <w:lang w:val="it-IT"/>
        </w:rPr>
        <w:t>Bollettino Sismico Italiano</w:t>
      </w:r>
      <w:r w:rsidR="005572E9">
        <w:rPr>
          <w:lang w:val="it-IT"/>
        </w:rPr>
        <w:t xml:space="preserve"> </w:t>
      </w:r>
    </w:p>
    <w:p w14:paraId="0E59392F" w14:textId="77777777" w:rsidR="005572E9" w:rsidRDefault="005572E9" w:rsidP="005572E9">
      <w:pPr>
        <w:rPr>
          <w:lang w:val="it-IT"/>
        </w:rPr>
      </w:pPr>
      <w:r w:rsidRPr="005572E9">
        <w:rPr>
          <w:lang w:val="it-IT"/>
        </w:rPr>
        <w:t>Istituto Nazionale di Geofisica e Vulcanologia, Roma, Italia (</w:t>
      </w:r>
      <w:hyperlink r:id="rId6" w:history="1">
        <w:r w:rsidR="00997541" w:rsidRPr="00BE3857">
          <w:rPr>
            <w:rStyle w:val="Collegamentoipertestuale"/>
            <w:lang w:val="it-IT"/>
          </w:rPr>
          <w:t>lucia.margheriti@ingv.it)</w:t>
        </w:r>
      </w:hyperlink>
    </w:p>
    <w:p w14:paraId="0FF36F0F" w14:textId="77777777" w:rsidR="00997541" w:rsidRDefault="00997541" w:rsidP="005572E9">
      <w:pPr>
        <w:rPr>
          <w:lang w:val="it-IT"/>
        </w:rPr>
      </w:pPr>
    </w:p>
    <w:p w14:paraId="08F858A9" w14:textId="77777777" w:rsidR="005572E9" w:rsidRPr="005572E9" w:rsidRDefault="005572E9" w:rsidP="00997541">
      <w:pPr>
        <w:jc w:val="both"/>
        <w:rPr>
          <w:lang w:val="it-IT"/>
        </w:rPr>
      </w:pPr>
      <w:r w:rsidRPr="005572E9">
        <w:rPr>
          <w:lang w:val="it-IT"/>
        </w:rPr>
        <w:t>La sequenza sismica Amatrice-Visso-Norcia (</w:t>
      </w:r>
      <w:proofErr w:type="spellStart"/>
      <w:r w:rsidRPr="005572E9">
        <w:rPr>
          <w:lang w:val="it-IT"/>
        </w:rPr>
        <w:t>AVN.s.s</w:t>
      </w:r>
      <w:proofErr w:type="spellEnd"/>
      <w:r w:rsidRPr="005572E9">
        <w:rPr>
          <w:lang w:val="it-IT"/>
        </w:rPr>
        <w:t xml:space="preserve"> nel seguito) include il terremoto più forte avvenuto</w:t>
      </w:r>
      <w:r w:rsidR="00997541">
        <w:rPr>
          <w:lang w:val="it-IT"/>
        </w:rPr>
        <w:t xml:space="preserve"> </w:t>
      </w:r>
      <w:r w:rsidRPr="005572E9">
        <w:rPr>
          <w:lang w:val="it-IT"/>
        </w:rPr>
        <w:t>negli ultimi 30 anni in Italia. La sequenza sismica è iniziata il 24 agosto 2016 con</w:t>
      </w:r>
      <w:r w:rsidR="00603C8C">
        <w:rPr>
          <w:lang w:val="it-IT"/>
        </w:rPr>
        <w:t xml:space="preserve"> </w:t>
      </w:r>
      <w:r w:rsidRPr="005572E9">
        <w:rPr>
          <w:lang w:val="it-IT"/>
        </w:rPr>
        <w:t>du</w:t>
      </w:r>
      <w:r w:rsidR="00603C8C">
        <w:rPr>
          <w:lang w:val="it-IT"/>
        </w:rPr>
        <w:t>e</w:t>
      </w:r>
      <w:r w:rsidRPr="005572E9">
        <w:rPr>
          <w:lang w:val="it-IT"/>
        </w:rPr>
        <w:t xml:space="preserve"> </w:t>
      </w:r>
      <w:r w:rsidR="00997541">
        <w:rPr>
          <w:lang w:val="it-IT"/>
        </w:rPr>
        <w:t>terremoti</w:t>
      </w:r>
      <w:r w:rsidR="00303927">
        <w:rPr>
          <w:lang w:val="it-IT"/>
        </w:rPr>
        <w:t xml:space="preserve"> di </w:t>
      </w:r>
      <w:proofErr w:type="spellStart"/>
      <w:r w:rsidR="00997541">
        <w:rPr>
          <w:lang w:val="it-IT"/>
        </w:rPr>
        <w:t>Mw</w:t>
      </w:r>
      <w:proofErr w:type="spellEnd"/>
      <w:r w:rsidR="00997541">
        <w:rPr>
          <w:lang w:val="it-IT"/>
        </w:rPr>
        <w:t xml:space="preserve"> 6.0 e </w:t>
      </w:r>
      <w:proofErr w:type="spellStart"/>
      <w:r w:rsidR="00997541">
        <w:rPr>
          <w:lang w:val="it-IT"/>
        </w:rPr>
        <w:t>Mw</w:t>
      </w:r>
      <w:proofErr w:type="spellEnd"/>
      <w:r w:rsidR="00997541">
        <w:rPr>
          <w:lang w:val="it-IT"/>
        </w:rPr>
        <w:t xml:space="preserve"> 5.4</w:t>
      </w:r>
      <w:r w:rsidRPr="005572E9">
        <w:rPr>
          <w:lang w:val="it-IT"/>
        </w:rPr>
        <w:t xml:space="preserve"> </w:t>
      </w:r>
      <w:r w:rsidR="00303927">
        <w:rPr>
          <w:lang w:val="it-IT"/>
        </w:rPr>
        <w:t xml:space="preserve">che hanno </w:t>
      </w:r>
      <w:r w:rsidRPr="005572E9">
        <w:rPr>
          <w:lang w:val="it-IT"/>
        </w:rPr>
        <w:t>provoca</w:t>
      </w:r>
      <w:r w:rsidR="00303927">
        <w:rPr>
          <w:lang w:val="it-IT"/>
        </w:rPr>
        <w:t>to</w:t>
      </w:r>
      <w:r w:rsidRPr="005572E9">
        <w:rPr>
          <w:lang w:val="it-IT"/>
        </w:rPr>
        <w:t xml:space="preserve"> ingenti danni e 294 morti; </w:t>
      </w:r>
      <w:r w:rsidR="00997541">
        <w:rPr>
          <w:lang w:val="it-IT"/>
        </w:rPr>
        <w:t xml:space="preserve">questi eventi </w:t>
      </w:r>
      <w:r w:rsidRPr="005572E9">
        <w:rPr>
          <w:lang w:val="it-IT"/>
        </w:rPr>
        <w:t xml:space="preserve">sono </w:t>
      </w:r>
      <w:r w:rsidR="00997541">
        <w:rPr>
          <w:lang w:val="it-IT"/>
        </w:rPr>
        <w:t xml:space="preserve">stati </w:t>
      </w:r>
      <w:r w:rsidRPr="005572E9">
        <w:rPr>
          <w:lang w:val="it-IT"/>
        </w:rPr>
        <w:t>seguiti da migliaia</w:t>
      </w:r>
      <w:r w:rsidR="00997541">
        <w:rPr>
          <w:lang w:val="it-IT"/>
        </w:rPr>
        <w:t xml:space="preserve"> </w:t>
      </w:r>
      <w:r w:rsidRPr="005572E9">
        <w:rPr>
          <w:lang w:val="it-IT"/>
        </w:rPr>
        <w:t xml:space="preserve">di </w:t>
      </w:r>
      <w:proofErr w:type="spellStart"/>
      <w:r w:rsidR="00A444FD" w:rsidRPr="009924EA">
        <w:rPr>
          <w:i/>
          <w:lang w:val="it-IT"/>
        </w:rPr>
        <w:t>aftershocks</w:t>
      </w:r>
      <w:proofErr w:type="spellEnd"/>
      <w:r w:rsidR="00603C8C">
        <w:rPr>
          <w:lang w:val="it-IT"/>
        </w:rPr>
        <w:t>.</w:t>
      </w:r>
      <w:r w:rsidRPr="005572E9">
        <w:rPr>
          <w:lang w:val="it-IT"/>
        </w:rPr>
        <w:t xml:space="preserve"> </w:t>
      </w:r>
      <w:r w:rsidR="00997541">
        <w:rPr>
          <w:lang w:val="it-IT"/>
        </w:rPr>
        <w:t>A</w:t>
      </w:r>
      <w:r w:rsidRPr="005572E9">
        <w:rPr>
          <w:lang w:val="it-IT"/>
        </w:rPr>
        <w:t xml:space="preserve">ltri due terremoti </w:t>
      </w:r>
      <w:r w:rsidR="00997541">
        <w:rPr>
          <w:lang w:val="it-IT"/>
        </w:rPr>
        <w:t xml:space="preserve">forti sono avvenuti il 26 ottobre, </w:t>
      </w:r>
      <w:proofErr w:type="spellStart"/>
      <w:r w:rsidR="00A444FD" w:rsidRPr="009924EA">
        <w:rPr>
          <w:i/>
          <w:lang w:val="it-IT"/>
        </w:rPr>
        <w:t>Mw</w:t>
      </w:r>
      <w:proofErr w:type="spellEnd"/>
      <w:r w:rsidR="00997541">
        <w:rPr>
          <w:lang w:val="it-IT"/>
        </w:rPr>
        <w:t xml:space="preserve"> 5.4 e </w:t>
      </w:r>
      <w:proofErr w:type="spellStart"/>
      <w:r w:rsidR="00A444FD" w:rsidRPr="009924EA">
        <w:rPr>
          <w:i/>
          <w:lang w:val="it-IT"/>
        </w:rPr>
        <w:t>Mw</w:t>
      </w:r>
      <w:proofErr w:type="spellEnd"/>
      <w:r w:rsidR="00A444FD" w:rsidRPr="009924EA">
        <w:rPr>
          <w:i/>
          <w:lang w:val="it-IT"/>
        </w:rPr>
        <w:t xml:space="preserve"> </w:t>
      </w:r>
      <w:r w:rsidR="00997541">
        <w:rPr>
          <w:lang w:val="it-IT"/>
        </w:rPr>
        <w:t xml:space="preserve">5.9. Il 30 ottobre </w:t>
      </w:r>
      <w:r w:rsidRPr="005572E9">
        <w:rPr>
          <w:lang w:val="it-IT"/>
        </w:rPr>
        <w:t>Il più forte terremoto della sequenza (</w:t>
      </w:r>
      <w:proofErr w:type="spellStart"/>
      <w:r w:rsidR="00A444FD" w:rsidRPr="009924EA">
        <w:rPr>
          <w:i/>
          <w:lang w:val="it-IT"/>
        </w:rPr>
        <w:t>Mw</w:t>
      </w:r>
      <w:proofErr w:type="spellEnd"/>
      <w:r w:rsidR="00A444FD" w:rsidRPr="009924EA">
        <w:rPr>
          <w:i/>
          <w:lang w:val="it-IT"/>
        </w:rPr>
        <w:t xml:space="preserve"> </w:t>
      </w:r>
      <w:r w:rsidRPr="005572E9">
        <w:rPr>
          <w:lang w:val="it-IT"/>
        </w:rPr>
        <w:t>6</w:t>
      </w:r>
      <w:r w:rsidR="00603C8C">
        <w:rPr>
          <w:lang w:val="it-IT"/>
        </w:rPr>
        <w:t>.</w:t>
      </w:r>
      <w:r w:rsidRPr="005572E9">
        <w:rPr>
          <w:lang w:val="it-IT"/>
        </w:rPr>
        <w:t>5) ha colpito l'Italia centrale, senza causare vittime ma oltre 40.000</w:t>
      </w:r>
      <w:r w:rsidR="00997541">
        <w:rPr>
          <w:lang w:val="it-IT"/>
        </w:rPr>
        <w:t xml:space="preserve"> sfollat</w:t>
      </w:r>
      <w:r w:rsidRPr="005572E9">
        <w:rPr>
          <w:lang w:val="it-IT"/>
        </w:rPr>
        <w:t>i. Altri</w:t>
      </w:r>
      <w:r w:rsidR="00997541">
        <w:rPr>
          <w:lang w:val="it-IT"/>
        </w:rPr>
        <w:t xml:space="preserve"> quattro terremoti moderati (</w:t>
      </w:r>
      <w:proofErr w:type="spellStart"/>
      <w:r w:rsidR="00A444FD" w:rsidRPr="009924EA">
        <w:rPr>
          <w:i/>
          <w:lang w:val="it-IT"/>
        </w:rPr>
        <w:t>Mw</w:t>
      </w:r>
      <w:proofErr w:type="spellEnd"/>
      <w:r w:rsidR="00303927">
        <w:rPr>
          <w:lang w:val="it-IT"/>
        </w:rPr>
        <w:t xml:space="preserve">&gt;5.0) </w:t>
      </w:r>
      <w:r w:rsidR="00997541">
        <w:rPr>
          <w:lang w:val="it-IT"/>
        </w:rPr>
        <w:t xml:space="preserve">sono </w:t>
      </w:r>
      <w:r w:rsidR="00303927">
        <w:rPr>
          <w:lang w:val="it-IT"/>
        </w:rPr>
        <w:t>avvenuti</w:t>
      </w:r>
      <w:r w:rsidR="00997541">
        <w:rPr>
          <w:lang w:val="it-IT"/>
        </w:rPr>
        <w:t xml:space="preserve"> il 18 gennaio 2017. A inizio ottobre </w:t>
      </w:r>
      <w:r w:rsidRPr="005572E9">
        <w:rPr>
          <w:lang w:val="it-IT"/>
        </w:rPr>
        <w:t>2018, l'INGV</w:t>
      </w:r>
      <w:r w:rsidR="00997541">
        <w:rPr>
          <w:lang w:val="it-IT"/>
        </w:rPr>
        <w:t xml:space="preserve"> aveva già localizzato più di 9</w:t>
      </w:r>
      <w:r w:rsidRPr="005572E9">
        <w:rPr>
          <w:lang w:val="it-IT"/>
        </w:rPr>
        <w:t>0000 terremoti d</w:t>
      </w:r>
      <w:r w:rsidR="00303927">
        <w:rPr>
          <w:lang w:val="it-IT"/>
        </w:rPr>
        <w:t>ella</w:t>
      </w:r>
      <w:r w:rsidRPr="005572E9">
        <w:rPr>
          <w:lang w:val="it-IT"/>
        </w:rPr>
        <w:t xml:space="preserve"> </w:t>
      </w:r>
      <w:proofErr w:type="spellStart"/>
      <w:r w:rsidRPr="005572E9">
        <w:rPr>
          <w:lang w:val="it-IT"/>
        </w:rPr>
        <w:t>AVN.s.s</w:t>
      </w:r>
      <w:proofErr w:type="spellEnd"/>
      <w:r w:rsidRPr="005572E9">
        <w:rPr>
          <w:lang w:val="it-IT"/>
        </w:rPr>
        <w:t>.</w:t>
      </w:r>
    </w:p>
    <w:p w14:paraId="3A6E0670" w14:textId="570CE516" w:rsidR="005572E9" w:rsidRPr="005572E9" w:rsidRDefault="00997541" w:rsidP="00AC3AA1">
      <w:pPr>
        <w:jc w:val="both"/>
        <w:rPr>
          <w:lang w:val="it-IT"/>
        </w:rPr>
      </w:pPr>
      <w:r>
        <w:rPr>
          <w:lang w:val="it-IT"/>
        </w:rPr>
        <w:t xml:space="preserve">Il Bollettino Sismico Italiano </w:t>
      </w:r>
      <w:r w:rsidR="00051B29">
        <w:rPr>
          <w:lang w:val="it-IT"/>
        </w:rPr>
        <w:t xml:space="preserve">(BSI) </w:t>
      </w:r>
      <w:r>
        <w:rPr>
          <w:lang w:val="it-IT"/>
        </w:rPr>
        <w:t>ha</w:t>
      </w:r>
      <w:r w:rsidR="005572E9" w:rsidRPr="005572E9">
        <w:rPr>
          <w:lang w:val="it-IT"/>
        </w:rPr>
        <w:t xml:space="preserve"> deciso di </w:t>
      </w:r>
      <w:r w:rsidR="00603C8C">
        <w:rPr>
          <w:lang w:val="it-IT"/>
        </w:rPr>
        <w:t>revisionare</w:t>
      </w:r>
      <w:r w:rsidR="00603C8C" w:rsidRPr="005572E9">
        <w:rPr>
          <w:lang w:val="it-IT"/>
        </w:rPr>
        <w:t xml:space="preserve"> </w:t>
      </w:r>
      <w:r w:rsidR="005572E9" w:rsidRPr="005572E9">
        <w:rPr>
          <w:lang w:val="it-IT"/>
        </w:rPr>
        <w:t xml:space="preserve">attentamente i terremoti che hanno seguito immediatamente i </w:t>
      </w:r>
      <w:r w:rsidR="00EB5663">
        <w:rPr>
          <w:lang w:val="it-IT"/>
        </w:rPr>
        <w:t xml:space="preserve">tre </w:t>
      </w:r>
      <w:r w:rsidR="005572E9" w:rsidRPr="005572E9">
        <w:rPr>
          <w:lang w:val="it-IT"/>
        </w:rPr>
        <w:t xml:space="preserve">principali </w:t>
      </w:r>
      <w:r w:rsidR="00F5395B">
        <w:rPr>
          <w:lang w:val="it-IT"/>
        </w:rPr>
        <w:t xml:space="preserve">eventi </w:t>
      </w:r>
      <w:r w:rsidR="00EB5663">
        <w:rPr>
          <w:lang w:val="it-IT"/>
        </w:rPr>
        <w:t xml:space="preserve">del 24 agosto, </w:t>
      </w:r>
      <w:r w:rsidR="007D0345">
        <w:rPr>
          <w:lang w:val="it-IT"/>
        </w:rPr>
        <w:t xml:space="preserve">del </w:t>
      </w:r>
      <w:r w:rsidR="00EB5663">
        <w:rPr>
          <w:lang w:val="it-IT"/>
        </w:rPr>
        <w:t xml:space="preserve">26 e </w:t>
      </w:r>
      <w:r w:rsidR="007D0345">
        <w:rPr>
          <w:lang w:val="it-IT"/>
        </w:rPr>
        <w:t xml:space="preserve">del </w:t>
      </w:r>
      <w:r w:rsidR="00EB5663">
        <w:rPr>
          <w:lang w:val="it-IT"/>
        </w:rPr>
        <w:t xml:space="preserve">30 ottobre </w:t>
      </w:r>
      <w:r w:rsidR="007B1FE3">
        <w:rPr>
          <w:lang w:val="it-IT"/>
        </w:rPr>
        <w:t xml:space="preserve">2016 </w:t>
      </w:r>
      <w:r w:rsidR="00F5395B">
        <w:rPr>
          <w:lang w:val="it-IT"/>
        </w:rPr>
        <w:t>poiché le</w:t>
      </w:r>
      <w:r w:rsidR="005572E9" w:rsidRPr="005572E9">
        <w:rPr>
          <w:lang w:val="it-IT"/>
        </w:rPr>
        <w:t xml:space="preserve"> prime </w:t>
      </w:r>
      <w:r w:rsidR="00567F15">
        <w:rPr>
          <w:lang w:val="it-IT"/>
        </w:rPr>
        <w:t xml:space="preserve">decine di </w:t>
      </w:r>
      <w:r w:rsidR="005572E9" w:rsidRPr="005572E9">
        <w:rPr>
          <w:lang w:val="it-IT"/>
        </w:rPr>
        <w:t xml:space="preserve">ore dopo un forte terremoto sono le più critiche per </w:t>
      </w:r>
      <w:r w:rsidR="00A80AC9">
        <w:rPr>
          <w:lang w:val="it-IT"/>
        </w:rPr>
        <w:t>le operazioni di monitoraggio sismico svolte presso la Sala Operativa dell'Istituto Nazionale di Geofisica e Vulcanologia</w:t>
      </w:r>
      <w:r w:rsidR="00133EC0">
        <w:rPr>
          <w:lang w:val="it-IT"/>
        </w:rPr>
        <w:t xml:space="preserve"> (INGV) </w:t>
      </w:r>
      <w:r w:rsidR="00A80AC9">
        <w:rPr>
          <w:lang w:val="it-IT"/>
        </w:rPr>
        <w:t xml:space="preserve">di Roma. </w:t>
      </w:r>
      <w:r w:rsidR="00D703AD">
        <w:rPr>
          <w:lang w:val="it-IT"/>
        </w:rPr>
        <w:t>Infatti, l</w:t>
      </w:r>
      <w:r w:rsidR="00A80AC9">
        <w:rPr>
          <w:lang w:val="it-IT"/>
        </w:rPr>
        <w:t xml:space="preserve">'occorrenza </w:t>
      </w:r>
      <w:r w:rsidR="008847ED">
        <w:rPr>
          <w:lang w:val="it-IT"/>
        </w:rPr>
        <w:t xml:space="preserve">di innumerevoli </w:t>
      </w:r>
      <w:r w:rsidR="00D703AD">
        <w:rPr>
          <w:lang w:val="it-IT"/>
        </w:rPr>
        <w:t xml:space="preserve">terremoti complica le normali operazioni di sorveglianza </w:t>
      </w:r>
      <w:r w:rsidR="00A02F81">
        <w:rPr>
          <w:lang w:val="it-IT"/>
        </w:rPr>
        <w:t>sismica</w:t>
      </w:r>
      <w:r w:rsidR="00ED0BFA">
        <w:rPr>
          <w:lang w:val="it-IT"/>
        </w:rPr>
        <w:t>.</w:t>
      </w:r>
      <w:r w:rsidR="00A02F81">
        <w:rPr>
          <w:lang w:val="it-IT"/>
        </w:rPr>
        <w:t xml:space="preserve"> </w:t>
      </w:r>
      <w:r w:rsidR="00ED0BFA">
        <w:rPr>
          <w:lang w:val="it-IT"/>
        </w:rPr>
        <w:t>Gli</w:t>
      </w:r>
      <w:r w:rsidR="00A02F81">
        <w:rPr>
          <w:lang w:val="it-IT"/>
        </w:rPr>
        <w:t xml:space="preserve"> analisti sismologi </w:t>
      </w:r>
      <w:r w:rsidR="005153EE">
        <w:rPr>
          <w:lang w:val="it-IT"/>
        </w:rPr>
        <w:t xml:space="preserve">in servizio presso la Sala Operativa </w:t>
      </w:r>
      <w:r w:rsidR="002972EB">
        <w:rPr>
          <w:lang w:val="it-IT"/>
        </w:rPr>
        <w:t>(Marchetti et al.</w:t>
      </w:r>
      <w:r w:rsidR="001839FF">
        <w:rPr>
          <w:lang w:val="it-IT"/>
        </w:rPr>
        <w:t>,</w:t>
      </w:r>
      <w:r w:rsidR="002972EB">
        <w:rPr>
          <w:lang w:val="it-IT"/>
        </w:rPr>
        <w:t xml:space="preserve"> 2016) </w:t>
      </w:r>
      <w:r w:rsidR="00ED0BFA">
        <w:rPr>
          <w:lang w:val="it-IT"/>
        </w:rPr>
        <w:t xml:space="preserve">non possono </w:t>
      </w:r>
      <w:r w:rsidR="00D703AD">
        <w:rPr>
          <w:lang w:val="it-IT"/>
        </w:rPr>
        <w:t>revision</w:t>
      </w:r>
      <w:r w:rsidR="00A02F81">
        <w:rPr>
          <w:lang w:val="it-IT"/>
        </w:rPr>
        <w:t>ar</w:t>
      </w:r>
      <w:r w:rsidR="00D703AD">
        <w:rPr>
          <w:lang w:val="it-IT"/>
        </w:rPr>
        <w:t xml:space="preserve">e in tempo quasi reale tutti i terremoti localizzati in modo automatico dal sistema </w:t>
      </w:r>
      <w:r w:rsidR="00A02F81">
        <w:rPr>
          <w:lang w:val="it-IT"/>
        </w:rPr>
        <w:t xml:space="preserve">di acquisizione e analisi dati </w:t>
      </w:r>
      <w:proofErr w:type="spellStart"/>
      <w:r w:rsidR="00A444FD" w:rsidRPr="009924EA">
        <w:rPr>
          <w:i/>
          <w:lang w:val="it-IT"/>
        </w:rPr>
        <w:t>Earthworm</w:t>
      </w:r>
      <w:proofErr w:type="spellEnd"/>
      <w:r w:rsidR="00ED0BFA">
        <w:rPr>
          <w:lang w:val="it-IT"/>
        </w:rPr>
        <w:t xml:space="preserve">. Sebbene il personale in servizio di sorveglianza sia stato raddoppiato immediatamente dopo l’inizio della sequenza, presso la Sala Operativa è </w:t>
      </w:r>
      <w:r w:rsidR="007D0345">
        <w:rPr>
          <w:lang w:val="it-IT"/>
        </w:rPr>
        <w:t xml:space="preserve">stato </w:t>
      </w:r>
      <w:r w:rsidR="009924EA">
        <w:rPr>
          <w:lang w:val="it-IT"/>
        </w:rPr>
        <w:t>possibile</w:t>
      </w:r>
      <w:r w:rsidR="00ED0BFA">
        <w:rPr>
          <w:lang w:val="it-IT"/>
        </w:rPr>
        <w:t xml:space="preserve"> revisionare solo </w:t>
      </w:r>
      <w:r w:rsidR="00A02F81">
        <w:rPr>
          <w:lang w:val="it-IT"/>
        </w:rPr>
        <w:t>gli eventi maggiori</w:t>
      </w:r>
      <w:r w:rsidR="00ED0BFA">
        <w:rPr>
          <w:lang w:val="it-IT"/>
        </w:rPr>
        <w:t>,</w:t>
      </w:r>
      <w:r w:rsidR="00A02F81">
        <w:rPr>
          <w:lang w:val="it-IT"/>
        </w:rPr>
        <w:t xml:space="preserve"> al di sopra della soglia di risentimento (M</w:t>
      </w:r>
      <w:r w:rsidR="00A02F81" w:rsidRPr="00D703AD">
        <w:rPr>
          <w:vertAlign w:val="subscript"/>
          <w:lang w:val="it-IT"/>
        </w:rPr>
        <w:t>L</w:t>
      </w:r>
      <w:r w:rsidR="00A02F81">
        <w:rPr>
          <w:lang w:val="it-IT"/>
        </w:rPr>
        <w:t xml:space="preserve"> </w:t>
      </w:r>
      <w:r w:rsidR="002A0D03">
        <w:rPr>
          <w:lang w:val="it-IT"/>
        </w:rPr>
        <w:sym w:font="Symbol" w:char="F07E"/>
      </w:r>
      <w:r w:rsidR="00A02F81">
        <w:rPr>
          <w:lang w:val="it-IT"/>
        </w:rPr>
        <w:t xml:space="preserve"> 2.5). </w:t>
      </w:r>
    </w:p>
    <w:p w14:paraId="29F9D5A0" w14:textId="33B2863A" w:rsidR="000B7BD4" w:rsidRDefault="00303927" w:rsidP="00AC3AA1">
      <w:pPr>
        <w:jc w:val="both"/>
        <w:rPr>
          <w:lang w:val="it-IT"/>
        </w:rPr>
      </w:pPr>
      <w:r>
        <w:rPr>
          <w:lang w:val="it-IT"/>
        </w:rPr>
        <w:t xml:space="preserve">Gli analisti del </w:t>
      </w:r>
      <w:r w:rsidR="005572E9" w:rsidRPr="005572E9">
        <w:rPr>
          <w:lang w:val="it-IT"/>
        </w:rPr>
        <w:t>BSI ha</w:t>
      </w:r>
      <w:r>
        <w:rPr>
          <w:lang w:val="it-IT"/>
        </w:rPr>
        <w:t>nno</w:t>
      </w:r>
      <w:r w:rsidR="005572E9" w:rsidRPr="005572E9">
        <w:rPr>
          <w:lang w:val="it-IT"/>
        </w:rPr>
        <w:t xml:space="preserve"> </w:t>
      </w:r>
      <w:r w:rsidR="00567F15">
        <w:rPr>
          <w:lang w:val="it-IT"/>
        </w:rPr>
        <w:t>analizzato</w:t>
      </w:r>
      <w:r w:rsidR="00ED0BFA">
        <w:rPr>
          <w:lang w:val="it-IT"/>
        </w:rPr>
        <w:t xml:space="preserve"> </w:t>
      </w:r>
      <w:r w:rsidR="00567F15">
        <w:rPr>
          <w:lang w:val="it-IT"/>
        </w:rPr>
        <w:t>tutte le forme d’onda disponibili per localizzare gli eventi avvenuti tr</w:t>
      </w:r>
      <w:r>
        <w:rPr>
          <w:lang w:val="it-IT"/>
        </w:rPr>
        <w:t>a il 24 e</w:t>
      </w:r>
      <w:r w:rsidR="00F5395B">
        <w:rPr>
          <w:lang w:val="it-IT"/>
        </w:rPr>
        <w:t xml:space="preserve"> il 26 agosto</w:t>
      </w:r>
      <w:r>
        <w:rPr>
          <w:lang w:val="it-IT"/>
        </w:rPr>
        <w:t>,</w:t>
      </w:r>
      <w:r w:rsidR="00567F15">
        <w:rPr>
          <w:lang w:val="it-IT"/>
        </w:rPr>
        <w:t xml:space="preserve"> tra i</w:t>
      </w:r>
      <w:r>
        <w:rPr>
          <w:lang w:val="it-IT"/>
        </w:rPr>
        <w:t>l 26 e</w:t>
      </w:r>
      <w:r w:rsidR="00567F15">
        <w:rPr>
          <w:lang w:val="it-IT"/>
        </w:rPr>
        <w:t xml:space="preserve"> il 2</w:t>
      </w:r>
      <w:r>
        <w:rPr>
          <w:lang w:val="it-IT"/>
        </w:rPr>
        <w:t>7 ottobre e tra il 30 ottobre e</w:t>
      </w:r>
      <w:r w:rsidR="00567F15">
        <w:rPr>
          <w:lang w:val="it-IT"/>
        </w:rPr>
        <w:t xml:space="preserve"> il 1 novembre 2016</w:t>
      </w:r>
      <w:r w:rsidR="00603C8C">
        <w:rPr>
          <w:lang w:val="it-IT"/>
        </w:rPr>
        <w:t>.</w:t>
      </w:r>
      <w:r w:rsidR="00133EC0">
        <w:rPr>
          <w:lang w:val="it-IT"/>
        </w:rPr>
        <w:t xml:space="preserve">, </w:t>
      </w:r>
      <w:r w:rsidR="00ED0BFA">
        <w:rPr>
          <w:lang w:val="it-IT"/>
        </w:rPr>
        <w:t>Per</w:t>
      </w:r>
      <w:r w:rsidR="000B7BD4">
        <w:rPr>
          <w:lang w:val="it-IT"/>
        </w:rPr>
        <w:t xml:space="preserve"> la prima volta l'analisi ha riguardato</w:t>
      </w:r>
      <w:r w:rsidR="00921868">
        <w:rPr>
          <w:lang w:val="it-IT"/>
        </w:rPr>
        <w:t xml:space="preserve"> anche </w:t>
      </w:r>
      <w:r w:rsidR="000B7BD4">
        <w:rPr>
          <w:lang w:val="it-IT"/>
        </w:rPr>
        <w:t xml:space="preserve">le registrazioni di </w:t>
      </w:r>
      <w:r w:rsidR="00133EC0">
        <w:rPr>
          <w:lang w:val="it-IT"/>
        </w:rPr>
        <w:t xml:space="preserve">9 stazioni temporanee </w:t>
      </w:r>
      <w:r w:rsidR="000B7BD4">
        <w:rPr>
          <w:lang w:val="it-IT"/>
        </w:rPr>
        <w:t xml:space="preserve">che </w:t>
      </w:r>
      <w:r w:rsidR="002972EB">
        <w:rPr>
          <w:lang w:val="it-IT"/>
        </w:rPr>
        <w:t>non entravano automaticamente nelle localizzazioni di sala</w:t>
      </w:r>
      <w:r w:rsidR="00ED0BFA">
        <w:rPr>
          <w:lang w:val="it-IT"/>
        </w:rPr>
        <w:t>, in aggiunta alle stazioni sismiche permanenti e temporanee (12) dell'INGV (Moretti et al.</w:t>
      </w:r>
      <w:r w:rsidR="001839FF">
        <w:rPr>
          <w:lang w:val="it-IT"/>
        </w:rPr>
        <w:t>,</w:t>
      </w:r>
      <w:r w:rsidR="00ED0BFA">
        <w:rPr>
          <w:lang w:val="it-IT"/>
        </w:rPr>
        <w:t xml:space="preserve"> 2016) utilizzate per il monitoraggio in tempo reale della sequenza.</w:t>
      </w:r>
    </w:p>
    <w:p w14:paraId="708513EB" w14:textId="5B96F8C5" w:rsidR="005572E9" w:rsidRDefault="00603C8C" w:rsidP="008B1B75">
      <w:pPr>
        <w:jc w:val="both"/>
        <w:rPr>
          <w:lang w:val="it-IT"/>
        </w:rPr>
      </w:pPr>
      <w:r>
        <w:rPr>
          <w:lang w:val="it-IT"/>
        </w:rPr>
        <w:t>S</w:t>
      </w:r>
      <w:r w:rsidR="00567F15">
        <w:rPr>
          <w:lang w:val="it-IT"/>
        </w:rPr>
        <w:t>ono stat</w:t>
      </w:r>
      <w:r w:rsidR="00303927">
        <w:rPr>
          <w:lang w:val="it-IT"/>
        </w:rPr>
        <w:t>i</w:t>
      </w:r>
      <w:r w:rsidR="00567F15">
        <w:rPr>
          <w:lang w:val="it-IT"/>
        </w:rPr>
        <w:t xml:space="preserve"> </w:t>
      </w:r>
      <w:r>
        <w:rPr>
          <w:lang w:val="it-IT"/>
        </w:rPr>
        <w:t xml:space="preserve">analizzati </w:t>
      </w:r>
      <w:r w:rsidR="004B4CDE">
        <w:rPr>
          <w:lang w:val="it-IT"/>
        </w:rPr>
        <w:t>manualmente</w:t>
      </w:r>
      <w:r w:rsidR="00303927">
        <w:rPr>
          <w:lang w:val="it-IT"/>
        </w:rPr>
        <w:t>,</w:t>
      </w:r>
      <w:r>
        <w:rPr>
          <w:lang w:val="it-IT"/>
        </w:rPr>
        <w:t xml:space="preserve"> </w:t>
      </w:r>
      <w:r w:rsidR="00567F15">
        <w:rPr>
          <w:lang w:val="it-IT"/>
        </w:rPr>
        <w:t xml:space="preserve">oltre </w:t>
      </w:r>
      <w:r w:rsidR="00303927">
        <w:rPr>
          <w:lang w:val="it-IT"/>
        </w:rPr>
        <w:t>a</w:t>
      </w:r>
      <w:r w:rsidR="00567F15">
        <w:rPr>
          <w:lang w:val="it-IT"/>
        </w:rPr>
        <w:t xml:space="preserve">gli eventi </w:t>
      </w:r>
      <w:r w:rsidR="00A02F81">
        <w:rPr>
          <w:lang w:val="it-IT"/>
        </w:rPr>
        <w:t xml:space="preserve">precedentemente </w:t>
      </w:r>
      <w:r>
        <w:rPr>
          <w:lang w:val="it-IT"/>
        </w:rPr>
        <w:t xml:space="preserve">revisionati </w:t>
      </w:r>
      <w:r w:rsidR="00567F15">
        <w:rPr>
          <w:lang w:val="it-IT"/>
        </w:rPr>
        <w:t xml:space="preserve">dai turnisti </w:t>
      </w:r>
      <w:r w:rsidR="00303927">
        <w:rPr>
          <w:lang w:val="it-IT"/>
        </w:rPr>
        <w:t>in</w:t>
      </w:r>
      <w:r w:rsidR="00567F15">
        <w:rPr>
          <w:lang w:val="it-IT"/>
        </w:rPr>
        <w:t xml:space="preserve"> </w:t>
      </w:r>
      <w:r w:rsidR="002A0D03">
        <w:rPr>
          <w:lang w:val="it-IT"/>
        </w:rPr>
        <w:t>S</w:t>
      </w:r>
      <w:r w:rsidR="00567F15">
        <w:rPr>
          <w:lang w:val="it-IT"/>
        </w:rPr>
        <w:t>ala</w:t>
      </w:r>
      <w:r w:rsidR="002A0D03">
        <w:rPr>
          <w:lang w:val="it-IT"/>
        </w:rPr>
        <w:t xml:space="preserve"> Operativa</w:t>
      </w:r>
      <w:r w:rsidR="00303927">
        <w:rPr>
          <w:lang w:val="it-IT"/>
        </w:rPr>
        <w:t>,</w:t>
      </w:r>
      <w:r w:rsidR="00567F15">
        <w:rPr>
          <w:lang w:val="it-IT"/>
        </w:rPr>
        <w:t xml:space="preserve"> anche tutte le localizzazioni </w:t>
      </w:r>
      <w:r w:rsidR="005572E9" w:rsidRPr="005572E9">
        <w:rPr>
          <w:lang w:val="it-IT"/>
        </w:rPr>
        <w:t xml:space="preserve">automatiche </w:t>
      </w:r>
      <w:r w:rsidR="00303927">
        <w:rPr>
          <w:lang w:val="it-IT"/>
        </w:rPr>
        <w:t>realizzate</w:t>
      </w:r>
      <w:r w:rsidR="005572E9" w:rsidRPr="005572E9">
        <w:rPr>
          <w:lang w:val="it-IT"/>
        </w:rPr>
        <w:t xml:space="preserve"> dal sistema </w:t>
      </w:r>
      <w:proofErr w:type="spellStart"/>
      <w:r w:rsidR="00A444FD" w:rsidRPr="009924EA">
        <w:rPr>
          <w:i/>
          <w:lang w:val="it-IT"/>
        </w:rPr>
        <w:t>Earthworm</w:t>
      </w:r>
      <w:proofErr w:type="spellEnd"/>
      <w:r w:rsidR="00A444FD" w:rsidRPr="009924EA">
        <w:rPr>
          <w:i/>
          <w:lang w:val="it-IT"/>
        </w:rPr>
        <w:t>.</w:t>
      </w:r>
      <w:r w:rsidR="005572E9" w:rsidRPr="005572E9">
        <w:rPr>
          <w:lang w:val="it-IT"/>
        </w:rPr>
        <w:t xml:space="preserve"> </w:t>
      </w:r>
      <w:r w:rsidR="005153EE">
        <w:rPr>
          <w:lang w:val="it-IT"/>
        </w:rPr>
        <w:t>Per</w:t>
      </w:r>
      <w:r w:rsidR="00567F15">
        <w:rPr>
          <w:lang w:val="it-IT"/>
        </w:rPr>
        <w:t xml:space="preserve"> </w:t>
      </w:r>
      <w:r w:rsidR="005572E9" w:rsidRPr="005572E9">
        <w:rPr>
          <w:lang w:val="it-IT"/>
        </w:rPr>
        <w:t xml:space="preserve">ogni </w:t>
      </w:r>
      <w:r w:rsidR="005153EE">
        <w:rPr>
          <w:lang w:val="it-IT"/>
        </w:rPr>
        <w:t xml:space="preserve">intervallo </w:t>
      </w:r>
      <w:r w:rsidR="00F5395B">
        <w:rPr>
          <w:lang w:val="it-IT"/>
        </w:rPr>
        <w:t>analizzato</w:t>
      </w:r>
      <w:r w:rsidR="005572E9" w:rsidRPr="005572E9">
        <w:rPr>
          <w:lang w:val="it-IT"/>
        </w:rPr>
        <w:t xml:space="preserve">, la revisione </w:t>
      </w:r>
      <w:r w:rsidR="00567F15">
        <w:rPr>
          <w:lang w:val="it-IT"/>
        </w:rPr>
        <w:t>ha</w:t>
      </w:r>
      <w:r w:rsidR="007B1FE3">
        <w:rPr>
          <w:lang w:val="it-IT"/>
        </w:rPr>
        <w:t xml:space="preserve"> permesso di </w:t>
      </w:r>
      <w:r w:rsidR="00567F15">
        <w:rPr>
          <w:lang w:val="it-IT"/>
        </w:rPr>
        <w:t>aumenta</w:t>
      </w:r>
      <w:r w:rsidR="007B1FE3">
        <w:rPr>
          <w:lang w:val="it-IT"/>
        </w:rPr>
        <w:t>re</w:t>
      </w:r>
      <w:r w:rsidR="005572E9" w:rsidRPr="005572E9">
        <w:rPr>
          <w:lang w:val="it-IT"/>
        </w:rPr>
        <w:t xml:space="preserve"> il numero di terremoti localizzati di un fattore </w:t>
      </w:r>
      <w:r w:rsidR="00567F15">
        <w:rPr>
          <w:lang w:val="it-IT"/>
        </w:rPr>
        <w:t>due o tre</w:t>
      </w:r>
      <w:r w:rsidR="007B1FE3">
        <w:rPr>
          <w:lang w:val="it-IT"/>
        </w:rPr>
        <w:t xml:space="preserve"> e di ridurre la magnitudo</w:t>
      </w:r>
      <w:r w:rsidR="005153EE">
        <w:rPr>
          <w:lang w:val="it-IT"/>
        </w:rPr>
        <w:t xml:space="preserve"> di completezza </w:t>
      </w:r>
      <w:r w:rsidR="00051B29">
        <w:rPr>
          <w:lang w:val="it-IT"/>
        </w:rPr>
        <w:t xml:space="preserve">(Mc) </w:t>
      </w:r>
      <w:r w:rsidR="007B1FE3">
        <w:rPr>
          <w:lang w:val="it-IT"/>
        </w:rPr>
        <w:t xml:space="preserve">di 0.5 per gli eventi successivi alle scosse di Amatrice </w:t>
      </w:r>
      <w:r w:rsidR="005153EE">
        <w:rPr>
          <w:lang w:val="it-IT"/>
        </w:rPr>
        <w:t xml:space="preserve">(Mc 2.2) </w:t>
      </w:r>
      <w:r w:rsidR="007B1FE3">
        <w:rPr>
          <w:lang w:val="it-IT"/>
        </w:rPr>
        <w:t xml:space="preserve">e </w:t>
      </w:r>
      <w:r w:rsidR="005153EE">
        <w:rPr>
          <w:lang w:val="it-IT"/>
        </w:rPr>
        <w:t>Norcia</w:t>
      </w:r>
      <w:r w:rsidR="007B1FE3">
        <w:rPr>
          <w:lang w:val="it-IT"/>
        </w:rPr>
        <w:t xml:space="preserve"> (Mc 2.</w:t>
      </w:r>
      <w:r w:rsidR="005153EE">
        <w:rPr>
          <w:lang w:val="it-IT"/>
        </w:rPr>
        <w:t>9</w:t>
      </w:r>
      <w:r w:rsidR="007B1FE3">
        <w:rPr>
          <w:lang w:val="it-IT"/>
        </w:rPr>
        <w:t xml:space="preserve">) e di 0.2 per gli eventi successivi alla scossa di </w:t>
      </w:r>
      <w:r w:rsidR="005153EE">
        <w:rPr>
          <w:lang w:val="it-IT"/>
        </w:rPr>
        <w:t xml:space="preserve">Visso </w:t>
      </w:r>
      <w:r w:rsidR="007B1FE3">
        <w:rPr>
          <w:lang w:val="it-IT"/>
        </w:rPr>
        <w:t>(Mc 2.</w:t>
      </w:r>
      <w:r w:rsidR="005153EE">
        <w:rPr>
          <w:lang w:val="it-IT"/>
        </w:rPr>
        <w:t>2</w:t>
      </w:r>
      <w:r w:rsidR="007B1FE3">
        <w:rPr>
          <w:lang w:val="it-IT"/>
        </w:rPr>
        <w:t>)</w:t>
      </w:r>
      <w:r w:rsidR="005572E9" w:rsidRPr="005572E9">
        <w:rPr>
          <w:lang w:val="it-IT"/>
        </w:rPr>
        <w:t>.</w:t>
      </w:r>
    </w:p>
    <w:p w14:paraId="3C5A1270" w14:textId="7E898896" w:rsidR="00534268" w:rsidRPr="009924EA" w:rsidRDefault="00A444FD" w:rsidP="009924EA">
      <w:pPr>
        <w:jc w:val="both"/>
        <w:rPr>
          <w:lang w:val="it-IT"/>
        </w:rPr>
      </w:pPr>
      <w:r w:rsidRPr="009924EA">
        <w:rPr>
          <w:lang w:val="it-IT"/>
        </w:rPr>
        <w:t>E’ importante sottolineare l’utilità di un catalogo</w:t>
      </w:r>
      <w:r w:rsidR="004B4CDE">
        <w:rPr>
          <w:lang w:val="it-IT"/>
        </w:rPr>
        <w:t xml:space="preserve"> come questo</w:t>
      </w:r>
      <w:r w:rsidR="00BC5E96">
        <w:rPr>
          <w:lang w:val="it-IT"/>
        </w:rPr>
        <w:t>,</w:t>
      </w:r>
      <w:r w:rsidRPr="009924EA">
        <w:rPr>
          <w:lang w:val="it-IT"/>
        </w:rPr>
        <w:t xml:space="preserve"> basat</w:t>
      </w:r>
      <w:r w:rsidR="004B4CDE">
        <w:rPr>
          <w:lang w:val="it-IT"/>
        </w:rPr>
        <w:t xml:space="preserve">o su fasi riviste e che include </w:t>
      </w:r>
      <w:r w:rsidRPr="009924EA">
        <w:rPr>
          <w:lang w:val="it-IT"/>
        </w:rPr>
        <w:t>eventi</w:t>
      </w:r>
      <w:r w:rsidR="00BC5E96">
        <w:rPr>
          <w:lang w:val="it-IT"/>
        </w:rPr>
        <w:t xml:space="preserve"> in un ampio </w:t>
      </w:r>
      <w:proofErr w:type="spellStart"/>
      <w:r w:rsidRPr="009924EA">
        <w:rPr>
          <w:i/>
          <w:lang w:val="it-IT"/>
        </w:rPr>
        <w:t>range</w:t>
      </w:r>
      <w:proofErr w:type="spellEnd"/>
      <w:r w:rsidR="00BC5E96">
        <w:rPr>
          <w:lang w:val="it-IT"/>
        </w:rPr>
        <w:t xml:space="preserve"> di magnitudo</w:t>
      </w:r>
      <w:r w:rsidRPr="009924EA">
        <w:rPr>
          <w:lang w:val="it-IT"/>
        </w:rPr>
        <w:t>, come riferimento per: </w:t>
      </w:r>
      <w:r w:rsidR="00051B29">
        <w:rPr>
          <w:lang w:val="it-IT"/>
        </w:rPr>
        <w:t xml:space="preserve"> (i) </w:t>
      </w:r>
      <w:r w:rsidRPr="009924EA">
        <w:rPr>
          <w:lang w:val="it-IT"/>
        </w:rPr>
        <w:t xml:space="preserve">istruire </w:t>
      </w:r>
      <w:r w:rsidR="00051B29">
        <w:rPr>
          <w:lang w:val="it-IT"/>
        </w:rPr>
        <w:t xml:space="preserve">algoritmi di </w:t>
      </w:r>
      <w:proofErr w:type="spellStart"/>
      <w:r w:rsidR="00051B29" w:rsidRPr="009924EA">
        <w:rPr>
          <w:i/>
          <w:lang w:val="it-IT"/>
        </w:rPr>
        <w:t>pick</w:t>
      </w:r>
      <w:r w:rsidR="00051B29">
        <w:rPr>
          <w:i/>
          <w:lang w:val="it-IT"/>
        </w:rPr>
        <w:t>ing</w:t>
      </w:r>
      <w:proofErr w:type="spellEnd"/>
      <w:r w:rsidR="00051B29">
        <w:rPr>
          <w:lang w:val="it-IT"/>
        </w:rPr>
        <w:t xml:space="preserve"> automatico </w:t>
      </w:r>
      <w:r w:rsidRPr="009924EA">
        <w:rPr>
          <w:lang w:val="it-IT"/>
        </w:rPr>
        <w:t>e</w:t>
      </w:r>
      <w:r w:rsidR="00051B29">
        <w:rPr>
          <w:lang w:val="it-IT"/>
        </w:rPr>
        <w:t>/o</w:t>
      </w:r>
      <w:r w:rsidRPr="009924EA">
        <w:rPr>
          <w:lang w:val="it-IT"/>
        </w:rPr>
        <w:t xml:space="preserve"> validare cataloghi dei </w:t>
      </w:r>
      <w:proofErr w:type="spellStart"/>
      <w:r w:rsidRPr="009924EA">
        <w:rPr>
          <w:i/>
          <w:lang w:val="it-IT"/>
        </w:rPr>
        <w:t>traveltime</w:t>
      </w:r>
      <w:r w:rsidR="00051B29">
        <w:rPr>
          <w:i/>
          <w:lang w:val="it-IT"/>
        </w:rPr>
        <w:t>s</w:t>
      </w:r>
      <w:proofErr w:type="spellEnd"/>
      <w:r w:rsidR="001839FF">
        <w:rPr>
          <w:i/>
          <w:lang w:val="it-IT"/>
        </w:rPr>
        <w:t xml:space="preserve"> </w:t>
      </w:r>
      <w:r w:rsidR="001839FF" w:rsidRPr="009924EA">
        <w:rPr>
          <w:lang w:val="it-IT"/>
        </w:rPr>
        <w:t>letti automaticamente</w:t>
      </w:r>
      <w:r w:rsidR="001839FF">
        <w:rPr>
          <w:lang w:val="it-IT"/>
        </w:rPr>
        <w:t xml:space="preserve">, </w:t>
      </w:r>
      <w:r w:rsidR="00051B29">
        <w:rPr>
          <w:lang w:val="it-IT"/>
        </w:rPr>
        <w:t xml:space="preserve">(ii) </w:t>
      </w:r>
      <w:r w:rsidR="001839FF">
        <w:rPr>
          <w:lang w:val="it-IT"/>
        </w:rPr>
        <w:t xml:space="preserve">migliorare la completezza di cataloghi mediante l'applicazione di </w:t>
      </w:r>
      <w:r w:rsidR="00BC5E96">
        <w:rPr>
          <w:lang w:val="it-IT"/>
        </w:rPr>
        <w:t xml:space="preserve">tecniche di </w:t>
      </w:r>
      <w:proofErr w:type="spellStart"/>
      <w:r w:rsidRPr="009924EA">
        <w:rPr>
          <w:i/>
          <w:lang w:val="it-IT"/>
        </w:rPr>
        <w:t>matched</w:t>
      </w:r>
      <w:proofErr w:type="spellEnd"/>
      <w:r w:rsidRPr="009924EA">
        <w:rPr>
          <w:i/>
          <w:lang w:val="it-IT"/>
        </w:rPr>
        <w:t xml:space="preserve"> </w:t>
      </w:r>
      <w:proofErr w:type="spellStart"/>
      <w:r w:rsidRPr="009924EA">
        <w:rPr>
          <w:i/>
          <w:lang w:val="it-IT"/>
        </w:rPr>
        <w:t>filter</w:t>
      </w:r>
      <w:proofErr w:type="spellEnd"/>
      <w:r w:rsidR="001839FF">
        <w:rPr>
          <w:i/>
          <w:lang w:val="it-IT"/>
        </w:rPr>
        <w:t xml:space="preserve"> </w:t>
      </w:r>
      <w:r w:rsidR="001839FF">
        <w:rPr>
          <w:lang w:val="it-IT"/>
        </w:rPr>
        <w:t xml:space="preserve">basate sulla cross-correlazione di registrazioni di terremoti </w:t>
      </w:r>
      <w:proofErr w:type="spellStart"/>
      <w:r w:rsidR="001839FF" w:rsidRPr="009924EA">
        <w:rPr>
          <w:i/>
          <w:lang w:val="it-IT"/>
        </w:rPr>
        <w:t>templates</w:t>
      </w:r>
      <w:proofErr w:type="spellEnd"/>
      <w:r w:rsidR="001839FF">
        <w:rPr>
          <w:lang w:val="it-IT"/>
        </w:rPr>
        <w:t xml:space="preserve"> con dati in continuo; (iii) determinare localizzazioni ipocentrali di alta precisione mediante </w:t>
      </w:r>
      <w:r w:rsidRPr="009924EA">
        <w:rPr>
          <w:lang w:val="it-IT"/>
        </w:rPr>
        <w:t>l'applicazione di tecniche di localizzazione relativa DD che dipendono cr</w:t>
      </w:r>
      <w:r w:rsidR="00BC5E96">
        <w:rPr>
          <w:lang w:val="it-IT"/>
        </w:rPr>
        <w:t xml:space="preserve">iticamente </w:t>
      </w:r>
      <w:r w:rsidRPr="009924EA">
        <w:rPr>
          <w:lang w:val="it-IT"/>
        </w:rPr>
        <w:t>dall'accuratezza delle localizzazioni assolute iniziali.</w:t>
      </w:r>
    </w:p>
    <w:p w14:paraId="2749F2E0" w14:textId="74AD7F9B" w:rsidR="005572E9" w:rsidRPr="005572E9" w:rsidRDefault="00BC5E96" w:rsidP="008B1B75">
      <w:pPr>
        <w:jc w:val="both"/>
        <w:rPr>
          <w:lang w:val="it-IT"/>
        </w:rPr>
      </w:pPr>
      <w:r>
        <w:rPr>
          <w:lang w:val="it-IT"/>
        </w:rPr>
        <w:t xml:space="preserve">Gli </w:t>
      </w:r>
      <w:proofErr w:type="spellStart"/>
      <w:r w:rsidR="00A444FD" w:rsidRPr="009924EA">
        <w:rPr>
          <w:i/>
          <w:lang w:val="it-IT"/>
        </w:rPr>
        <w:t>early</w:t>
      </w:r>
      <w:proofErr w:type="spellEnd"/>
      <w:r w:rsidR="00A444FD" w:rsidRPr="009924EA">
        <w:rPr>
          <w:i/>
          <w:lang w:val="it-IT"/>
        </w:rPr>
        <w:t xml:space="preserve"> </w:t>
      </w:r>
      <w:proofErr w:type="spellStart"/>
      <w:r w:rsidR="00A444FD" w:rsidRPr="009924EA">
        <w:rPr>
          <w:i/>
          <w:lang w:val="it-IT"/>
        </w:rPr>
        <w:t>aftershocks</w:t>
      </w:r>
      <w:proofErr w:type="spellEnd"/>
      <w:r w:rsidR="005572E9" w:rsidRPr="005572E9">
        <w:rPr>
          <w:lang w:val="it-IT"/>
        </w:rPr>
        <w:t xml:space="preserve"> sono stat</w:t>
      </w:r>
      <w:r w:rsidR="00603C8C">
        <w:rPr>
          <w:lang w:val="it-IT"/>
        </w:rPr>
        <w:t>i</w:t>
      </w:r>
      <w:r w:rsidR="005572E9" w:rsidRPr="005572E9">
        <w:rPr>
          <w:lang w:val="it-IT"/>
        </w:rPr>
        <w:t xml:space="preserve"> localizzat</w:t>
      </w:r>
      <w:r w:rsidR="00603C8C">
        <w:rPr>
          <w:lang w:val="it-IT"/>
        </w:rPr>
        <w:t>i</w:t>
      </w:r>
      <w:r w:rsidR="005572E9" w:rsidRPr="005572E9">
        <w:rPr>
          <w:lang w:val="it-IT"/>
        </w:rPr>
        <w:t xml:space="preserve"> utilizzando </w:t>
      </w:r>
      <w:r w:rsidR="00567F15">
        <w:rPr>
          <w:lang w:val="it-IT"/>
        </w:rPr>
        <w:t xml:space="preserve">il codice </w:t>
      </w:r>
      <w:proofErr w:type="spellStart"/>
      <w:r w:rsidR="00A444FD" w:rsidRPr="009924EA">
        <w:rPr>
          <w:i/>
          <w:lang w:val="it-IT"/>
        </w:rPr>
        <w:t>NonLinLoc</w:t>
      </w:r>
      <w:proofErr w:type="spellEnd"/>
      <w:r w:rsidR="00567F15">
        <w:rPr>
          <w:lang w:val="it-IT"/>
        </w:rPr>
        <w:t xml:space="preserve"> </w:t>
      </w:r>
      <w:r w:rsidR="001F7F6E">
        <w:rPr>
          <w:lang w:val="it-IT"/>
        </w:rPr>
        <w:t>ed un modell</w:t>
      </w:r>
      <w:r w:rsidR="008B1B75">
        <w:rPr>
          <w:lang w:val="it-IT"/>
        </w:rPr>
        <w:t>o</w:t>
      </w:r>
      <w:r w:rsidR="001F7F6E">
        <w:rPr>
          <w:lang w:val="it-IT"/>
        </w:rPr>
        <w:t xml:space="preserve"> di velocità 1-D locale</w:t>
      </w:r>
      <w:r w:rsidR="00F5395B">
        <w:rPr>
          <w:lang w:val="it-IT"/>
        </w:rPr>
        <w:t>.</w:t>
      </w:r>
      <w:r w:rsidR="005153EE">
        <w:rPr>
          <w:lang w:val="it-IT"/>
        </w:rPr>
        <w:t xml:space="preserve"> Il catalogo finale include </w:t>
      </w:r>
      <w:r w:rsidR="001F7F6E">
        <w:rPr>
          <w:lang w:val="it-IT"/>
        </w:rPr>
        <w:t xml:space="preserve">circa </w:t>
      </w:r>
      <w:r w:rsidR="001839FF">
        <w:rPr>
          <w:lang w:val="it-IT"/>
        </w:rPr>
        <w:t>1</w:t>
      </w:r>
      <w:r w:rsidR="001F7F6E" w:rsidRPr="001839FF">
        <w:rPr>
          <w:lang w:val="it-IT"/>
        </w:rPr>
        <w:t xml:space="preserve">0,500 </w:t>
      </w:r>
      <w:proofErr w:type="spellStart"/>
      <w:r w:rsidR="001839FF" w:rsidRPr="009924EA">
        <w:rPr>
          <w:i/>
          <w:lang w:val="it-IT"/>
        </w:rPr>
        <w:t>early</w:t>
      </w:r>
      <w:proofErr w:type="spellEnd"/>
      <w:r w:rsidR="001839FF" w:rsidRPr="009924EA">
        <w:rPr>
          <w:i/>
          <w:lang w:val="it-IT"/>
        </w:rPr>
        <w:t xml:space="preserve"> </w:t>
      </w:r>
      <w:proofErr w:type="spellStart"/>
      <w:r w:rsidR="001839FF" w:rsidRPr="009924EA">
        <w:rPr>
          <w:i/>
          <w:lang w:val="it-IT"/>
        </w:rPr>
        <w:t>aftershocks</w:t>
      </w:r>
      <w:proofErr w:type="spellEnd"/>
      <w:r w:rsidR="001F7F6E" w:rsidRPr="001839FF">
        <w:rPr>
          <w:lang w:val="it-IT"/>
        </w:rPr>
        <w:t xml:space="preserve">, di magnitudo locale compresa tra 0.3 e </w:t>
      </w:r>
      <w:r w:rsidR="001839FF" w:rsidRPr="001839FF">
        <w:rPr>
          <w:lang w:val="it-IT"/>
        </w:rPr>
        <w:t>5.4</w:t>
      </w:r>
      <w:r w:rsidR="001F7F6E" w:rsidRPr="001839FF">
        <w:rPr>
          <w:lang w:val="it-IT"/>
        </w:rPr>
        <w:t>, caratterizzati da ottimi parametri di locali</w:t>
      </w:r>
      <w:r w:rsidR="000B7BD4" w:rsidRPr="001839FF">
        <w:rPr>
          <w:lang w:val="it-IT"/>
        </w:rPr>
        <w:t>z</w:t>
      </w:r>
      <w:r w:rsidR="001F7F6E" w:rsidRPr="001839FF">
        <w:rPr>
          <w:lang w:val="it-IT"/>
        </w:rPr>
        <w:t>zazione.</w:t>
      </w:r>
    </w:p>
    <w:p w14:paraId="5D987022" w14:textId="1A5E3B3B" w:rsidR="00534268" w:rsidRDefault="005572E9" w:rsidP="009924EA">
      <w:pPr>
        <w:jc w:val="both"/>
        <w:rPr>
          <w:lang w:val="it-IT"/>
        </w:rPr>
      </w:pPr>
      <w:r w:rsidRPr="005572E9">
        <w:rPr>
          <w:lang w:val="it-IT"/>
        </w:rPr>
        <w:lastRenderedPageBreak/>
        <w:t xml:space="preserve">Le </w:t>
      </w:r>
      <w:r w:rsidR="00567F15">
        <w:rPr>
          <w:lang w:val="it-IT"/>
        </w:rPr>
        <w:t>localizzazioni</w:t>
      </w:r>
      <w:r w:rsidRPr="005572E9">
        <w:rPr>
          <w:lang w:val="it-IT"/>
        </w:rPr>
        <w:t xml:space="preserve"> </w:t>
      </w:r>
      <w:r w:rsidR="00F5395B">
        <w:rPr>
          <w:lang w:val="it-IT"/>
        </w:rPr>
        <w:t>di quest</w:t>
      </w:r>
      <w:r w:rsidR="00303927">
        <w:rPr>
          <w:lang w:val="it-IT"/>
        </w:rPr>
        <w:t>i</w:t>
      </w:r>
      <w:r w:rsidR="00F5395B">
        <w:rPr>
          <w:lang w:val="it-IT"/>
        </w:rPr>
        <w:t xml:space="preserve"> </w:t>
      </w:r>
      <w:proofErr w:type="spellStart"/>
      <w:r w:rsidR="00A444FD" w:rsidRPr="009924EA">
        <w:rPr>
          <w:i/>
          <w:lang w:val="it-IT"/>
        </w:rPr>
        <w:t>aftershocks</w:t>
      </w:r>
      <w:proofErr w:type="spellEnd"/>
      <w:r w:rsidR="00481C58">
        <w:rPr>
          <w:lang w:val="it-IT"/>
        </w:rPr>
        <w:t xml:space="preserve"> avvenuti nei primi giorni dopo gli eventi principali</w:t>
      </w:r>
      <w:r w:rsidR="00603C8C">
        <w:rPr>
          <w:lang w:val="it-IT"/>
        </w:rPr>
        <w:t>,</w:t>
      </w:r>
      <w:r w:rsidR="00F5395B">
        <w:rPr>
          <w:lang w:val="it-IT"/>
        </w:rPr>
        <w:t xml:space="preserve"> insieme ad una attenta revisione degli ipocentri degli eventi con magnitudo maggiore di 5.</w:t>
      </w:r>
      <w:r w:rsidR="000B7BD4">
        <w:rPr>
          <w:lang w:val="it-IT"/>
        </w:rPr>
        <w:t>4</w:t>
      </w:r>
      <w:r w:rsidR="00603C8C">
        <w:rPr>
          <w:lang w:val="it-IT"/>
        </w:rPr>
        <w:t>,</w:t>
      </w:r>
      <w:r w:rsidRPr="005572E9">
        <w:rPr>
          <w:lang w:val="it-IT"/>
        </w:rPr>
        <w:t xml:space="preserve"> forniscono indizi molto importanti </w:t>
      </w:r>
      <w:r w:rsidR="001F7F6E">
        <w:rPr>
          <w:lang w:val="it-IT"/>
        </w:rPr>
        <w:t>sui sistemi di faglie immediatamente attivati dall’occorrenza dei terremoti principali</w:t>
      </w:r>
      <w:r w:rsidR="00481C58">
        <w:rPr>
          <w:lang w:val="it-IT"/>
        </w:rPr>
        <w:t xml:space="preserve"> (</w:t>
      </w:r>
      <w:proofErr w:type="spellStart"/>
      <w:r w:rsidR="00481C58">
        <w:rPr>
          <w:lang w:val="it-IT"/>
        </w:rPr>
        <w:t>Improta</w:t>
      </w:r>
      <w:proofErr w:type="spellEnd"/>
      <w:r w:rsidR="00481C58">
        <w:rPr>
          <w:lang w:val="it-IT"/>
        </w:rPr>
        <w:t xml:space="preserve"> et al.</w:t>
      </w:r>
      <w:r w:rsidR="001839FF">
        <w:rPr>
          <w:lang w:val="it-IT"/>
        </w:rPr>
        <w:t>,</w:t>
      </w:r>
      <w:r w:rsidR="00481C58">
        <w:rPr>
          <w:lang w:val="it-IT"/>
        </w:rPr>
        <w:t xml:space="preserve"> </w:t>
      </w:r>
      <w:r w:rsidR="003E6299">
        <w:rPr>
          <w:lang w:val="it-IT"/>
        </w:rPr>
        <w:t>i</w:t>
      </w:r>
      <w:r w:rsidR="00481C58">
        <w:rPr>
          <w:lang w:val="it-IT"/>
        </w:rPr>
        <w:t>n preparazione)</w:t>
      </w:r>
      <w:r w:rsidR="002972EB">
        <w:rPr>
          <w:lang w:val="it-IT"/>
        </w:rPr>
        <w:t xml:space="preserve">, aggiungendo importanti </w:t>
      </w:r>
      <w:r w:rsidR="00921868">
        <w:rPr>
          <w:lang w:val="it-IT"/>
        </w:rPr>
        <w:t>dettagli</w:t>
      </w:r>
      <w:r w:rsidR="002972EB">
        <w:rPr>
          <w:lang w:val="it-IT"/>
        </w:rPr>
        <w:t xml:space="preserve"> a quanto è già stato mostrato in diversi lavori che localizzano</w:t>
      </w:r>
      <w:r w:rsidR="004B65E9">
        <w:rPr>
          <w:lang w:val="it-IT"/>
        </w:rPr>
        <w:t xml:space="preserve"> gli eventi del</w:t>
      </w:r>
      <w:r w:rsidR="002972EB">
        <w:rPr>
          <w:lang w:val="it-IT"/>
        </w:rPr>
        <w:t xml:space="preserve">la </w:t>
      </w:r>
      <w:proofErr w:type="spellStart"/>
      <w:r w:rsidR="002972EB" w:rsidRPr="005572E9">
        <w:rPr>
          <w:lang w:val="it-IT"/>
        </w:rPr>
        <w:t>AVN.s.s</w:t>
      </w:r>
      <w:proofErr w:type="spellEnd"/>
      <w:r w:rsidR="002972EB">
        <w:rPr>
          <w:lang w:val="it-IT"/>
        </w:rPr>
        <w:t xml:space="preserve"> utilizzando</w:t>
      </w:r>
      <w:r w:rsidR="002972EB" w:rsidRPr="004B65E9">
        <w:rPr>
          <w:lang w:val="it-IT"/>
        </w:rPr>
        <w:t xml:space="preserve"> i </w:t>
      </w:r>
      <w:r w:rsidR="004B65E9">
        <w:rPr>
          <w:lang w:val="it-IT"/>
        </w:rPr>
        <w:t>tempi di percorso delle fasi P ed S letti in tempo quasi reale dagli analisti sismologi in servizio presso la Sala Operativa INGV</w:t>
      </w:r>
      <w:r w:rsidR="002972EB">
        <w:rPr>
          <w:lang w:val="it-IT"/>
        </w:rPr>
        <w:t xml:space="preserve"> (</w:t>
      </w:r>
      <w:proofErr w:type="spellStart"/>
      <w:r w:rsidR="002972EB">
        <w:rPr>
          <w:lang w:val="it-IT"/>
        </w:rPr>
        <w:t>Chiaraluce</w:t>
      </w:r>
      <w:proofErr w:type="spellEnd"/>
      <w:r w:rsidR="002972EB">
        <w:rPr>
          <w:lang w:val="it-IT"/>
        </w:rPr>
        <w:t xml:space="preserve"> et al</w:t>
      </w:r>
      <w:r w:rsidR="001839FF">
        <w:rPr>
          <w:lang w:val="it-IT"/>
        </w:rPr>
        <w:t>.,</w:t>
      </w:r>
      <w:r w:rsidR="002972EB">
        <w:rPr>
          <w:lang w:val="it-IT"/>
        </w:rPr>
        <w:t xml:space="preserve"> 2016</w:t>
      </w:r>
      <w:r w:rsidR="0096083D">
        <w:rPr>
          <w:lang w:val="it-IT"/>
        </w:rPr>
        <w:t>)</w:t>
      </w:r>
      <w:r w:rsidR="002972EB">
        <w:rPr>
          <w:lang w:val="it-IT"/>
        </w:rPr>
        <w:t xml:space="preserve"> o </w:t>
      </w:r>
      <w:r w:rsidR="004B65E9">
        <w:rPr>
          <w:lang w:val="it-IT"/>
        </w:rPr>
        <w:t xml:space="preserve">mediante </w:t>
      </w:r>
      <w:r w:rsidR="002972EB">
        <w:rPr>
          <w:lang w:val="it-IT"/>
        </w:rPr>
        <w:t xml:space="preserve">sistemi di </w:t>
      </w:r>
      <w:proofErr w:type="spellStart"/>
      <w:r w:rsidR="00A444FD" w:rsidRPr="009924EA">
        <w:rPr>
          <w:i/>
          <w:lang w:val="it-IT"/>
        </w:rPr>
        <w:t>picking</w:t>
      </w:r>
      <w:proofErr w:type="spellEnd"/>
      <w:r w:rsidR="002972EB">
        <w:rPr>
          <w:lang w:val="it-IT"/>
        </w:rPr>
        <w:t xml:space="preserve"> automatico (</w:t>
      </w:r>
      <w:proofErr w:type="spellStart"/>
      <w:r w:rsidR="002972EB">
        <w:rPr>
          <w:lang w:val="it-IT"/>
        </w:rPr>
        <w:t>Chiarabba</w:t>
      </w:r>
      <w:proofErr w:type="spellEnd"/>
      <w:r w:rsidR="002972EB">
        <w:rPr>
          <w:lang w:val="it-IT"/>
        </w:rPr>
        <w:t xml:space="preserve"> et al.</w:t>
      </w:r>
      <w:r w:rsidR="001839FF">
        <w:rPr>
          <w:lang w:val="it-IT"/>
        </w:rPr>
        <w:t>,</w:t>
      </w:r>
      <w:r w:rsidR="002972EB">
        <w:rPr>
          <w:lang w:val="it-IT"/>
        </w:rPr>
        <w:t xml:space="preserve"> 2018). </w:t>
      </w:r>
      <w:r w:rsidR="005153EE">
        <w:rPr>
          <w:lang w:val="it-IT"/>
        </w:rPr>
        <w:t>In particolare, l'analisi dell'evoluzione spazio-temporale della sismic</w:t>
      </w:r>
      <w:r w:rsidR="001F7F6E">
        <w:rPr>
          <w:lang w:val="it-IT"/>
        </w:rPr>
        <w:t>i</w:t>
      </w:r>
      <w:r w:rsidR="005153EE">
        <w:rPr>
          <w:lang w:val="it-IT"/>
        </w:rPr>
        <w:t>tà, anche di bassa magnitud</w:t>
      </w:r>
      <w:r w:rsidR="001F7F6E">
        <w:rPr>
          <w:lang w:val="it-IT"/>
        </w:rPr>
        <w:t>o,</w:t>
      </w:r>
      <w:r w:rsidR="00567F15">
        <w:rPr>
          <w:lang w:val="it-IT"/>
        </w:rPr>
        <w:t xml:space="preserve"> </w:t>
      </w:r>
      <w:r w:rsidR="001F7F6E">
        <w:rPr>
          <w:lang w:val="it-IT"/>
        </w:rPr>
        <w:t xml:space="preserve">fornisce nuove indicazioni </w:t>
      </w:r>
      <w:r w:rsidRPr="005572E9">
        <w:rPr>
          <w:lang w:val="it-IT"/>
        </w:rPr>
        <w:t>per ca</w:t>
      </w:r>
      <w:r w:rsidR="00567F15">
        <w:rPr>
          <w:lang w:val="it-IT"/>
        </w:rPr>
        <w:t xml:space="preserve">pire </w:t>
      </w:r>
      <w:r w:rsidR="005153EE">
        <w:rPr>
          <w:lang w:val="it-IT"/>
        </w:rPr>
        <w:t xml:space="preserve">le relazioni esistenti tra i sistemi di faglie normali Quaternarie, anche caratterizzate da episodi di </w:t>
      </w:r>
      <w:proofErr w:type="spellStart"/>
      <w:r w:rsidR="005153EE">
        <w:rPr>
          <w:lang w:val="it-IT"/>
        </w:rPr>
        <w:t>fagliazione</w:t>
      </w:r>
      <w:proofErr w:type="spellEnd"/>
      <w:r w:rsidR="005153EE">
        <w:rPr>
          <w:lang w:val="it-IT"/>
        </w:rPr>
        <w:t xml:space="preserve"> superficiale</w:t>
      </w:r>
      <w:r w:rsidR="002972EB">
        <w:rPr>
          <w:lang w:val="it-IT"/>
        </w:rPr>
        <w:t xml:space="preserve"> (Villani et al.</w:t>
      </w:r>
      <w:r w:rsidR="004B65E9">
        <w:rPr>
          <w:lang w:val="it-IT"/>
        </w:rPr>
        <w:t>,</w:t>
      </w:r>
      <w:r w:rsidR="002972EB">
        <w:rPr>
          <w:lang w:val="it-IT"/>
        </w:rPr>
        <w:t xml:space="preserve"> 2018)</w:t>
      </w:r>
      <w:r w:rsidR="005153EE">
        <w:rPr>
          <w:lang w:val="it-IT"/>
        </w:rPr>
        <w:t xml:space="preserve">, e faglie inverse pre-esistenti e per investigare </w:t>
      </w:r>
      <w:r w:rsidR="002972EB">
        <w:rPr>
          <w:lang w:val="it-IT"/>
        </w:rPr>
        <w:t xml:space="preserve">la geometria e </w:t>
      </w:r>
      <w:r w:rsidR="00567F15">
        <w:rPr>
          <w:lang w:val="it-IT"/>
        </w:rPr>
        <w:t>i meccanismi fisici della sorgente</w:t>
      </w:r>
      <w:r w:rsidR="002972EB">
        <w:rPr>
          <w:lang w:val="it-IT"/>
        </w:rPr>
        <w:t xml:space="preserve"> </w:t>
      </w:r>
      <w:r w:rsidR="00ED0BFA">
        <w:rPr>
          <w:lang w:val="it-IT"/>
        </w:rPr>
        <w:t xml:space="preserve">dei terremoti più forti della </w:t>
      </w:r>
      <w:proofErr w:type="spellStart"/>
      <w:r w:rsidR="00ED0BFA" w:rsidRPr="005572E9">
        <w:rPr>
          <w:lang w:val="it-IT"/>
        </w:rPr>
        <w:t>AVN.s.s</w:t>
      </w:r>
      <w:proofErr w:type="spellEnd"/>
      <w:r w:rsidR="00ED0BFA" w:rsidRPr="005572E9">
        <w:rPr>
          <w:lang w:val="it-IT"/>
        </w:rPr>
        <w:t>.</w:t>
      </w:r>
      <w:r w:rsidR="00ED0BFA">
        <w:rPr>
          <w:lang w:val="it-IT"/>
        </w:rPr>
        <w:t xml:space="preserve"> </w:t>
      </w:r>
      <w:r w:rsidR="002972EB">
        <w:rPr>
          <w:lang w:val="it-IT"/>
        </w:rPr>
        <w:t>(Scognamiglio et al.</w:t>
      </w:r>
      <w:r w:rsidR="004B65E9">
        <w:rPr>
          <w:lang w:val="it-IT"/>
        </w:rPr>
        <w:t xml:space="preserve">, </w:t>
      </w:r>
      <w:r w:rsidR="003C0466">
        <w:rPr>
          <w:lang w:val="it-IT"/>
        </w:rPr>
        <w:t>2018; Cheloni et al</w:t>
      </w:r>
      <w:r w:rsidR="004B65E9">
        <w:rPr>
          <w:lang w:val="it-IT"/>
        </w:rPr>
        <w:t>.,</w:t>
      </w:r>
      <w:r w:rsidR="003C0466">
        <w:rPr>
          <w:lang w:val="it-IT"/>
        </w:rPr>
        <w:t xml:space="preserve"> 2017</w:t>
      </w:r>
      <w:r w:rsidR="00921868">
        <w:rPr>
          <w:lang w:val="it-IT"/>
        </w:rPr>
        <w:t>)</w:t>
      </w:r>
      <w:r w:rsidR="00ED0BFA">
        <w:rPr>
          <w:lang w:val="it-IT"/>
        </w:rPr>
        <w:t>.</w:t>
      </w:r>
      <w:r w:rsidR="000013E4">
        <w:rPr>
          <w:lang w:val="it-IT"/>
        </w:rPr>
        <w:t xml:space="preserve"> </w:t>
      </w:r>
      <w:r w:rsidR="0038598A">
        <w:rPr>
          <w:lang w:val="it-IT"/>
        </w:rPr>
        <w:t>Nella F</w:t>
      </w:r>
      <w:r w:rsidR="004A5C70">
        <w:rPr>
          <w:lang w:val="it-IT"/>
        </w:rPr>
        <w:t>ig.</w:t>
      </w:r>
      <w:r w:rsidR="00C7399B">
        <w:rPr>
          <w:lang w:val="it-IT"/>
        </w:rPr>
        <w:t xml:space="preserve"> 1 sono riportati in viola gli epicentri degli eventi avvenuti nei giorni 24-25-26 agosto 2016</w:t>
      </w:r>
      <w:r w:rsidR="00C146D5">
        <w:rPr>
          <w:lang w:val="it-IT"/>
        </w:rPr>
        <w:t>, le due stelle gialle sono i due terremoti con magnitudo maggiore di 5.4</w:t>
      </w:r>
      <w:r w:rsidR="007D0345">
        <w:rPr>
          <w:lang w:val="it-IT"/>
        </w:rPr>
        <w:t>;</w:t>
      </w:r>
      <w:r w:rsidR="00C146D5">
        <w:rPr>
          <w:lang w:val="it-IT"/>
        </w:rPr>
        <w:t xml:space="preserve"> è interessante notare che la porzione del sistema di fagli</w:t>
      </w:r>
      <w:r w:rsidR="007D0345">
        <w:rPr>
          <w:lang w:val="it-IT"/>
        </w:rPr>
        <w:t>e</w:t>
      </w:r>
      <w:r w:rsidR="00C146D5">
        <w:rPr>
          <w:lang w:val="it-IT"/>
        </w:rPr>
        <w:t xml:space="preserve"> attivato in questi primi giorni della sequenza è lungo poco meno di 30 km e la sismicità interessa anche la piana di Castelluccio di Norcia; gli eventi di colore celeste si riferiscono invece alla sismicità localizzata nei giorni tra il 26 ed il 27 ottobre 2016 (anche in questo caso le stelle gialle rappresentano gli eventi d</w:t>
      </w:r>
      <w:r w:rsidR="00ED0BFA">
        <w:rPr>
          <w:lang w:val="it-IT"/>
        </w:rPr>
        <w:t>i</w:t>
      </w:r>
      <w:r w:rsidR="00C146D5">
        <w:rPr>
          <w:lang w:val="it-IT"/>
        </w:rPr>
        <w:t xml:space="preserve"> magnitudo maggiore o uguale a 5.4)</w:t>
      </w:r>
      <w:r w:rsidR="00ED0BFA">
        <w:rPr>
          <w:lang w:val="it-IT"/>
        </w:rPr>
        <w:t>.</w:t>
      </w:r>
      <w:r w:rsidR="00C146D5">
        <w:rPr>
          <w:lang w:val="it-IT"/>
        </w:rPr>
        <w:t xml:space="preserve"> </w:t>
      </w:r>
      <w:r w:rsidR="00ED0BFA">
        <w:rPr>
          <w:lang w:val="it-IT"/>
        </w:rPr>
        <w:t>L</w:t>
      </w:r>
      <w:r w:rsidR="00C146D5">
        <w:rPr>
          <w:lang w:val="it-IT"/>
        </w:rPr>
        <w:t>a gran parte della sismicità va ad interessare la regione adiacente a quella che si era attivata ad agosto; gli eventi di colore rosso si riferiscono agli epicentri dei terremoti localizzati nei giorni tra il 30 ottobre ed il 1° novembre 2016</w:t>
      </w:r>
      <w:r w:rsidR="004B65E9">
        <w:rPr>
          <w:lang w:val="it-IT"/>
        </w:rPr>
        <w:t>,</w:t>
      </w:r>
      <w:r w:rsidR="00C146D5">
        <w:rPr>
          <w:lang w:val="it-IT"/>
        </w:rPr>
        <w:t xml:space="preserve"> la stella bianca è l’evento maggiore della sequenza</w:t>
      </w:r>
      <w:r w:rsidR="00ED0BFA">
        <w:rPr>
          <w:lang w:val="it-IT"/>
        </w:rPr>
        <w:t>, di</w:t>
      </w:r>
      <w:r w:rsidR="004B65E9">
        <w:rPr>
          <w:lang w:val="it-IT"/>
        </w:rPr>
        <w:t xml:space="preserve"> </w:t>
      </w:r>
      <w:r w:rsidR="00C146D5">
        <w:rPr>
          <w:lang w:val="it-IT"/>
        </w:rPr>
        <w:t>magnitudo 6.5</w:t>
      </w:r>
      <w:r w:rsidR="00ED0BFA">
        <w:rPr>
          <w:lang w:val="it-IT"/>
        </w:rPr>
        <w:t>,</w:t>
      </w:r>
      <w:r w:rsidR="00C146D5">
        <w:rPr>
          <w:lang w:val="it-IT"/>
        </w:rPr>
        <w:t xml:space="preserve"> che </w:t>
      </w:r>
      <w:r w:rsidR="00ED0BFA">
        <w:rPr>
          <w:lang w:val="it-IT"/>
        </w:rPr>
        <w:t>e</w:t>
      </w:r>
      <w:r w:rsidR="00C146D5">
        <w:rPr>
          <w:lang w:val="it-IT"/>
        </w:rPr>
        <w:t>nuclea esattamente al passaggio tra la porzione del sistema di faglie attivate il 24 agosto e quelle attivate il</w:t>
      </w:r>
      <w:r w:rsidR="002972EB">
        <w:rPr>
          <w:lang w:val="it-IT"/>
        </w:rPr>
        <w:t xml:space="preserve"> 26 ottobre. </w:t>
      </w:r>
    </w:p>
    <w:p w14:paraId="351B1E7D" w14:textId="77777777" w:rsidR="00F5395B" w:rsidRDefault="00F5395B" w:rsidP="005572E9">
      <w:pPr>
        <w:rPr>
          <w:lang w:val="it-IT"/>
        </w:rPr>
      </w:pPr>
    </w:p>
    <w:p w14:paraId="6C6D5F13" w14:textId="027A4B43" w:rsidR="00F5395B" w:rsidRDefault="00773939" w:rsidP="005572E9">
      <w:pPr>
        <w:rPr>
          <w:lang w:val="it-IT"/>
        </w:rPr>
      </w:pPr>
      <w:r>
        <w:rPr>
          <w:noProof/>
          <w:lang w:val="it-IT" w:eastAsia="it-IT"/>
        </w:rPr>
        <w:drawing>
          <wp:inline distT="0" distB="0" distL="0" distR="0" wp14:anchorId="28A5EF68" wp14:editId="195AAB9E">
            <wp:extent cx="6116320" cy="3416300"/>
            <wp:effectExtent l="0" t="0" r="508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GNGTS.jpg"/>
                    <pic:cNvPicPr/>
                  </pic:nvPicPr>
                  <pic:blipFill rotWithShape="1">
                    <a:blip r:embed="rId7" cstate="print">
                      <a:extLst>
                        <a:ext uri="{28A0092B-C50C-407E-A947-70E740481C1C}">
                          <a14:useLocalDpi xmlns:a14="http://schemas.microsoft.com/office/drawing/2010/main" val="0"/>
                        </a:ext>
                      </a:extLst>
                    </a:blip>
                    <a:srcRect b="11890"/>
                    <a:stretch/>
                  </pic:blipFill>
                  <pic:spPr bwMode="auto">
                    <a:xfrm>
                      <a:off x="0" y="0"/>
                      <a:ext cx="6116320" cy="3416300"/>
                    </a:xfrm>
                    <a:prstGeom prst="rect">
                      <a:avLst/>
                    </a:prstGeom>
                    <a:ln>
                      <a:noFill/>
                    </a:ln>
                    <a:extLst>
                      <a:ext uri="{53640926-AAD7-44D8-BBD7-CCE9431645EC}">
                        <a14:shadowObscured xmlns:a14="http://schemas.microsoft.com/office/drawing/2010/main"/>
                      </a:ext>
                    </a:extLst>
                  </pic:spPr>
                </pic:pic>
              </a:graphicData>
            </a:graphic>
          </wp:inline>
        </w:drawing>
      </w:r>
    </w:p>
    <w:p w14:paraId="3AE5488D" w14:textId="77777777" w:rsidR="002E410C" w:rsidRDefault="002E410C" w:rsidP="005572E9">
      <w:pPr>
        <w:rPr>
          <w:lang w:val="it-IT"/>
        </w:rPr>
      </w:pPr>
    </w:p>
    <w:p w14:paraId="091D0B63" w14:textId="4CAB4F9B" w:rsidR="002E410C" w:rsidRDefault="002E410C" w:rsidP="005572E9">
      <w:pPr>
        <w:rPr>
          <w:lang w:val="it-IT"/>
        </w:rPr>
      </w:pPr>
      <w:r>
        <w:rPr>
          <w:lang w:val="it-IT"/>
        </w:rPr>
        <w:t>Figura</w:t>
      </w:r>
      <w:r w:rsidR="0038598A">
        <w:rPr>
          <w:lang w:val="it-IT"/>
        </w:rPr>
        <w:t>1</w:t>
      </w:r>
      <w:r>
        <w:rPr>
          <w:lang w:val="it-IT"/>
        </w:rPr>
        <w:t>: Localizzazion</w:t>
      </w:r>
      <w:r w:rsidR="00F70038">
        <w:rPr>
          <w:lang w:val="it-IT"/>
        </w:rPr>
        <w:t>i epicentrali</w:t>
      </w:r>
      <w:r w:rsidR="00ED0BFA">
        <w:rPr>
          <w:lang w:val="it-IT"/>
        </w:rPr>
        <w:t xml:space="preserve"> </w:t>
      </w:r>
      <w:r>
        <w:rPr>
          <w:lang w:val="it-IT"/>
        </w:rPr>
        <w:t>dei terremoti della sequenza del centro Italia 2016-2018</w:t>
      </w:r>
      <w:r w:rsidR="004B65E9">
        <w:rPr>
          <w:lang w:val="it-IT"/>
        </w:rPr>
        <w:t>. I</w:t>
      </w:r>
      <w:r>
        <w:rPr>
          <w:lang w:val="it-IT"/>
        </w:rPr>
        <w:t xml:space="preserve">n colore gli </w:t>
      </w:r>
      <w:proofErr w:type="spellStart"/>
      <w:r w:rsidR="004B65E9" w:rsidRPr="009924EA">
        <w:rPr>
          <w:i/>
          <w:lang w:val="it-IT"/>
        </w:rPr>
        <w:t>early</w:t>
      </w:r>
      <w:proofErr w:type="spellEnd"/>
      <w:r w:rsidR="004B65E9" w:rsidRPr="009924EA">
        <w:rPr>
          <w:i/>
          <w:lang w:val="it-IT"/>
        </w:rPr>
        <w:t xml:space="preserve"> </w:t>
      </w:r>
      <w:proofErr w:type="spellStart"/>
      <w:r w:rsidR="004B65E9" w:rsidRPr="009924EA">
        <w:rPr>
          <w:i/>
          <w:lang w:val="it-IT"/>
        </w:rPr>
        <w:t>aftershocks</w:t>
      </w:r>
      <w:proofErr w:type="spellEnd"/>
      <w:r>
        <w:rPr>
          <w:lang w:val="it-IT"/>
        </w:rPr>
        <w:t xml:space="preserve"> avvenuti nei giorni indicati sopra alle mappe</w:t>
      </w:r>
      <w:r w:rsidR="004B65E9">
        <w:rPr>
          <w:lang w:val="it-IT"/>
        </w:rPr>
        <w:t xml:space="preserve"> e analizzati in questo studio. In grigio gli eventi della sequenza non revisionati in questo studio</w:t>
      </w:r>
      <w:r>
        <w:rPr>
          <w:lang w:val="it-IT"/>
        </w:rPr>
        <w:t>.</w:t>
      </w:r>
    </w:p>
    <w:p w14:paraId="3A4A975A" w14:textId="77777777" w:rsidR="0038598A" w:rsidRDefault="0038598A" w:rsidP="005572E9">
      <w:pPr>
        <w:rPr>
          <w:lang w:val="it-IT"/>
        </w:rPr>
      </w:pPr>
    </w:p>
    <w:p w14:paraId="0CAA4A4C" w14:textId="77777777" w:rsidR="00C45AAE" w:rsidRDefault="00C45AAE" w:rsidP="009924EA">
      <w:pPr>
        <w:ind w:left="567" w:hanging="567"/>
        <w:jc w:val="both"/>
        <w:rPr>
          <w:lang w:val="it-IT"/>
        </w:rPr>
      </w:pPr>
    </w:p>
    <w:p w14:paraId="5A9D2EFC" w14:textId="6319C8F2" w:rsidR="00534268" w:rsidRDefault="004B65E9" w:rsidP="009924EA">
      <w:pPr>
        <w:ind w:left="567" w:hanging="567"/>
        <w:jc w:val="both"/>
        <w:rPr>
          <w:lang w:val="it-IT"/>
        </w:rPr>
      </w:pPr>
      <w:r>
        <w:rPr>
          <w:lang w:val="it-IT"/>
        </w:rPr>
        <w:lastRenderedPageBreak/>
        <w:t>Bibliografia</w:t>
      </w:r>
    </w:p>
    <w:p w14:paraId="5B206AD6" w14:textId="77777777" w:rsidR="00534268" w:rsidRPr="009924EA" w:rsidRDefault="00A444FD" w:rsidP="009924EA">
      <w:pPr>
        <w:pStyle w:val="p1"/>
        <w:ind w:left="567" w:hanging="567"/>
        <w:jc w:val="both"/>
        <w:rPr>
          <w:rFonts w:asciiTheme="minorHAnsi" w:hAnsiTheme="minorHAnsi" w:cstheme="minorBidi"/>
          <w:sz w:val="24"/>
          <w:szCs w:val="24"/>
          <w:lang w:val="en-US" w:eastAsia="en-US"/>
        </w:rPr>
      </w:pPr>
      <w:r w:rsidRPr="009924EA">
        <w:rPr>
          <w:rFonts w:asciiTheme="minorHAnsi" w:hAnsiTheme="minorHAnsi" w:cstheme="minorBidi"/>
          <w:sz w:val="24"/>
          <w:szCs w:val="24"/>
          <w:lang w:val="it-IT" w:eastAsia="en-US"/>
        </w:rPr>
        <w:t xml:space="preserve">Cheloni, D., De </w:t>
      </w:r>
      <w:proofErr w:type="spellStart"/>
      <w:r w:rsidRPr="009924EA">
        <w:rPr>
          <w:rFonts w:asciiTheme="minorHAnsi" w:hAnsiTheme="minorHAnsi" w:cstheme="minorBidi"/>
          <w:sz w:val="24"/>
          <w:szCs w:val="24"/>
          <w:lang w:val="it-IT" w:eastAsia="en-US"/>
        </w:rPr>
        <w:t>Novellis</w:t>
      </w:r>
      <w:proofErr w:type="spellEnd"/>
      <w:r w:rsidRPr="009924EA">
        <w:rPr>
          <w:rFonts w:asciiTheme="minorHAnsi" w:hAnsiTheme="minorHAnsi" w:cstheme="minorBidi"/>
          <w:sz w:val="24"/>
          <w:szCs w:val="24"/>
          <w:lang w:val="it-IT" w:eastAsia="en-US"/>
        </w:rPr>
        <w:t xml:space="preserve">, V., Albano, M., </w:t>
      </w:r>
      <w:proofErr w:type="spellStart"/>
      <w:r w:rsidRPr="009924EA">
        <w:rPr>
          <w:rFonts w:asciiTheme="minorHAnsi" w:hAnsiTheme="minorHAnsi" w:cstheme="minorBidi"/>
          <w:sz w:val="24"/>
          <w:szCs w:val="24"/>
          <w:lang w:val="it-IT" w:eastAsia="en-US"/>
        </w:rPr>
        <w:t>Antonioli</w:t>
      </w:r>
      <w:proofErr w:type="spellEnd"/>
      <w:r w:rsidRPr="009924EA">
        <w:rPr>
          <w:rFonts w:asciiTheme="minorHAnsi" w:hAnsiTheme="minorHAnsi" w:cstheme="minorBidi"/>
          <w:sz w:val="24"/>
          <w:szCs w:val="24"/>
          <w:lang w:val="it-IT" w:eastAsia="en-US"/>
        </w:rPr>
        <w:t xml:space="preserve">, A., </w:t>
      </w:r>
      <w:proofErr w:type="spellStart"/>
      <w:r w:rsidRPr="009924EA">
        <w:rPr>
          <w:rFonts w:asciiTheme="minorHAnsi" w:hAnsiTheme="minorHAnsi" w:cstheme="minorBidi"/>
          <w:sz w:val="24"/>
          <w:szCs w:val="24"/>
          <w:lang w:val="it-IT" w:eastAsia="en-US"/>
        </w:rPr>
        <w:t>Anzidei</w:t>
      </w:r>
      <w:proofErr w:type="spellEnd"/>
      <w:r w:rsidRPr="009924EA">
        <w:rPr>
          <w:rFonts w:asciiTheme="minorHAnsi" w:hAnsiTheme="minorHAnsi" w:cstheme="minorBidi"/>
          <w:sz w:val="24"/>
          <w:szCs w:val="24"/>
          <w:lang w:val="it-IT" w:eastAsia="en-US"/>
        </w:rPr>
        <w:t xml:space="preserve">, M., </w:t>
      </w:r>
      <w:proofErr w:type="spellStart"/>
      <w:r w:rsidRPr="009924EA">
        <w:rPr>
          <w:rFonts w:asciiTheme="minorHAnsi" w:hAnsiTheme="minorHAnsi" w:cstheme="minorBidi"/>
          <w:sz w:val="24"/>
          <w:szCs w:val="24"/>
          <w:lang w:val="it-IT" w:eastAsia="en-US"/>
        </w:rPr>
        <w:t>Atzori</w:t>
      </w:r>
      <w:proofErr w:type="spellEnd"/>
      <w:r w:rsidRPr="009924EA">
        <w:rPr>
          <w:rFonts w:asciiTheme="minorHAnsi" w:hAnsiTheme="minorHAnsi" w:cstheme="minorBidi"/>
          <w:sz w:val="24"/>
          <w:szCs w:val="24"/>
          <w:lang w:val="it-IT" w:eastAsia="en-US"/>
        </w:rPr>
        <w:t xml:space="preserve">, S., et al. </w:t>
      </w:r>
      <w:r w:rsidRPr="009924EA">
        <w:rPr>
          <w:rFonts w:asciiTheme="minorHAnsi" w:hAnsiTheme="minorHAnsi" w:cstheme="minorBidi"/>
          <w:sz w:val="24"/>
          <w:szCs w:val="24"/>
          <w:lang w:val="en-US" w:eastAsia="en-US"/>
        </w:rPr>
        <w:t xml:space="preserve">(2017). Geodetic model of </w:t>
      </w:r>
      <w:proofErr w:type="spellStart"/>
      <w:r w:rsidRPr="009924EA">
        <w:rPr>
          <w:rFonts w:asciiTheme="minorHAnsi" w:hAnsiTheme="minorHAnsi" w:cstheme="minorBidi"/>
          <w:sz w:val="24"/>
          <w:szCs w:val="24"/>
          <w:lang w:val="en-US" w:eastAsia="en-US"/>
        </w:rPr>
        <w:t>th</w:t>
      </w:r>
      <w:proofErr w:type="spellEnd"/>
      <w:r w:rsidRPr="009924EA">
        <w:rPr>
          <w:rFonts w:asciiTheme="minorHAnsi" w:hAnsiTheme="minorHAnsi" w:cstheme="minorBidi"/>
          <w:sz w:val="24"/>
          <w:szCs w:val="24"/>
          <w:lang w:eastAsia="en-US"/>
        </w:rPr>
        <w:t xml:space="preserve">e 2016 Central Italy earthquake sequence inferred from </w:t>
      </w:r>
      <w:proofErr w:type="spellStart"/>
      <w:r w:rsidRPr="009924EA">
        <w:rPr>
          <w:rFonts w:asciiTheme="minorHAnsi" w:hAnsiTheme="minorHAnsi" w:cstheme="minorBidi"/>
          <w:sz w:val="24"/>
          <w:szCs w:val="24"/>
          <w:lang w:eastAsia="en-US"/>
        </w:rPr>
        <w:t>InSAR</w:t>
      </w:r>
      <w:proofErr w:type="spellEnd"/>
      <w:r w:rsidRPr="009924EA">
        <w:rPr>
          <w:rFonts w:asciiTheme="minorHAnsi" w:hAnsiTheme="minorHAnsi" w:cstheme="minorBidi"/>
          <w:sz w:val="24"/>
          <w:szCs w:val="24"/>
          <w:lang w:eastAsia="en-US"/>
        </w:rPr>
        <w:t xml:space="preserve"> and GPS data. </w:t>
      </w:r>
      <w:r w:rsidRPr="009924EA">
        <w:rPr>
          <w:rFonts w:asciiTheme="minorHAnsi" w:hAnsiTheme="minorHAnsi" w:cstheme="minorBidi"/>
          <w:sz w:val="24"/>
          <w:szCs w:val="24"/>
          <w:lang w:val="en-US" w:eastAsia="en-US"/>
        </w:rPr>
        <w:t xml:space="preserve">Geophysical Research Letters, 44, 6778–6787. </w:t>
      </w:r>
      <w:hyperlink r:id="rId8" w:history="1">
        <w:r w:rsidRPr="009924EA">
          <w:rPr>
            <w:rStyle w:val="Collegamentoipertestuale"/>
            <w:rFonts w:asciiTheme="minorHAnsi" w:hAnsiTheme="minorHAnsi" w:cstheme="minorBidi"/>
            <w:sz w:val="24"/>
            <w:szCs w:val="24"/>
            <w:lang w:val="en-US" w:eastAsia="en-US"/>
          </w:rPr>
          <w:t>https://doi.org/10.1002/2017GL073580</w:t>
        </w:r>
      </w:hyperlink>
    </w:p>
    <w:p w14:paraId="05AF8629" w14:textId="77777777" w:rsidR="00534268" w:rsidRPr="009924EA" w:rsidRDefault="00A444FD" w:rsidP="009924EA">
      <w:pPr>
        <w:pStyle w:val="p1"/>
        <w:ind w:left="567" w:hanging="567"/>
        <w:jc w:val="both"/>
        <w:rPr>
          <w:rFonts w:asciiTheme="minorHAnsi" w:hAnsiTheme="minorHAnsi" w:cstheme="minorBidi"/>
          <w:sz w:val="24"/>
          <w:szCs w:val="24"/>
          <w:lang w:val="it-IT" w:eastAsia="en-US"/>
        </w:rPr>
      </w:pPr>
      <w:proofErr w:type="spellStart"/>
      <w:r w:rsidRPr="009924EA">
        <w:rPr>
          <w:rFonts w:asciiTheme="minorHAnsi" w:hAnsiTheme="minorHAnsi" w:cstheme="minorBidi"/>
          <w:sz w:val="24"/>
          <w:szCs w:val="24"/>
          <w:lang w:val="en-US" w:eastAsia="en-US"/>
        </w:rPr>
        <w:t>Chiarabba</w:t>
      </w:r>
      <w:proofErr w:type="spellEnd"/>
      <w:r w:rsidRPr="009924EA">
        <w:rPr>
          <w:rFonts w:asciiTheme="minorHAnsi" w:hAnsiTheme="minorHAnsi" w:cstheme="minorBidi"/>
          <w:sz w:val="24"/>
          <w:szCs w:val="24"/>
          <w:lang w:val="en-US" w:eastAsia="en-US"/>
        </w:rPr>
        <w:t xml:space="preserve">, C., De Gori, P., </w:t>
      </w:r>
      <w:proofErr w:type="spellStart"/>
      <w:r w:rsidRPr="009924EA">
        <w:rPr>
          <w:rFonts w:asciiTheme="minorHAnsi" w:hAnsiTheme="minorHAnsi" w:cstheme="minorBidi"/>
          <w:sz w:val="24"/>
          <w:szCs w:val="24"/>
          <w:lang w:val="en-US" w:eastAsia="en-US"/>
        </w:rPr>
        <w:t>Cattaneo</w:t>
      </w:r>
      <w:proofErr w:type="spellEnd"/>
      <w:r w:rsidRPr="009924EA">
        <w:rPr>
          <w:rFonts w:asciiTheme="minorHAnsi" w:hAnsiTheme="minorHAnsi" w:cstheme="minorBidi"/>
          <w:sz w:val="24"/>
          <w:szCs w:val="24"/>
          <w:lang w:val="en-US" w:eastAsia="en-US"/>
        </w:rPr>
        <w:t xml:space="preserve">, M., </w:t>
      </w:r>
      <w:proofErr w:type="spellStart"/>
      <w:r w:rsidRPr="009924EA">
        <w:rPr>
          <w:rFonts w:asciiTheme="minorHAnsi" w:hAnsiTheme="minorHAnsi" w:cstheme="minorBidi"/>
          <w:sz w:val="24"/>
          <w:szCs w:val="24"/>
          <w:lang w:val="en-US" w:eastAsia="en-US"/>
        </w:rPr>
        <w:t>Spallarossa</w:t>
      </w:r>
      <w:proofErr w:type="spellEnd"/>
      <w:r w:rsidRPr="009924EA">
        <w:rPr>
          <w:rFonts w:asciiTheme="minorHAnsi" w:hAnsiTheme="minorHAnsi" w:cstheme="minorBidi"/>
          <w:sz w:val="24"/>
          <w:szCs w:val="24"/>
          <w:lang w:val="en-US" w:eastAsia="en-US"/>
        </w:rPr>
        <w:t xml:space="preserve">, D., &amp; Segou, M. (2018). </w:t>
      </w:r>
      <w:r w:rsidRPr="009924EA">
        <w:rPr>
          <w:rFonts w:asciiTheme="minorHAnsi" w:hAnsiTheme="minorHAnsi" w:cstheme="minorBidi"/>
          <w:sz w:val="24"/>
          <w:szCs w:val="24"/>
          <w:lang w:eastAsia="en-US"/>
        </w:rPr>
        <w:t>Faults geometry and the role of fluids in the 2016–2017 Central Italy seismic</w:t>
      </w:r>
      <w:r w:rsidR="00FD779C">
        <w:rPr>
          <w:rFonts w:asciiTheme="minorHAnsi" w:hAnsiTheme="minorHAnsi" w:cstheme="minorBidi"/>
          <w:sz w:val="24"/>
          <w:szCs w:val="24"/>
          <w:lang w:eastAsia="en-US"/>
        </w:rPr>
        <w:t xml:space="preserve"> </w:t>
      </w:r>
      <w:r w:rsidRPr="009924EA">
        <w:rPr>
          <w:rFonts w:asciiTheme="minorHAnsi" w:hAnsiTheme="minorHAnsi" w:cstheme="minorBidi"/>
          <w:sz w:val="24"/>
          <w:szCs w:val="24"/>
          <w:lang w:eastAsia="en-US"/>
        </w:rPr>
        <w:t xml:space="preserve">sequence. </w:t>
      </w:r>
      <w:proofErr w:type="spellStart"/>
      <w:r w:rsidRPr="009924EA">
        <w:rPr>
          <w:rFonts w:asciiTheme="minorHAnsi" w:hAnsiTheme="minorHAnsi" w:cstheme="minorBidi"/>
          <w:sz w:val="24"/>
          <w:szCs w:val="24"/>
          <w:lang w:val="it-IT" w:eastAsia="en-US"/>
        </w:rPr>
        <w:t>Geophysical</w:t>
      </w:r>
      <w:proofErr w:type="spellEnd"/>
      <w:r w:rsidRPr="009924EA">
        <w:rPr>
          <w:rFonts w:asciiTheme="minorHAnsi" w:hAnsiTheme="minorHAnsi" w:cstheme="minorBidi"/>
          <w:sz w:val="24"/>
          <w:szCs w:val="24"/>
          <w:lang w:val="it-IT" w:eastAsia="en-US"/>
        </w:rPr>
        <w:t xml:space="preserve"> </w:t>
      </w:r>
      <w:proofErr w:type="spellStart"/>
      <w:r w:rsidRPr="009924EA">
        <w:rPr>
          <w:rFonts w:asciiTheme="minorHAnsi" w:hAnsiTheme="minorHAnsi" w:cstheme="minorBidi"/>
          <w:sz w:val="24"/>
          <w:szCs w:val="24"/>
          <w:lang w:val="it-IT" w:eastAsia="en-US"/>
        </w:rPr>
        <w:t>Research</w:t>
      </w:r>
      <w:proofErr w:type="spellEnd"/>
      <w:r w:rsidRPr="009924EA">
        <w:rPr>
          <w:rFonts w:asciiTheme="minorHAnsi" w:hAnsiTheme="minorHAnsi" w:cstheme="minorBidi"/>
          <w:sz w:val="24"/>
          <w:szCs w:val="24"/>
          <w:lang w:val="it-IT" w:eastAsia="en-US"/>
        </w:rPr>
        <w:t xml:space="preserve"> </w:t>
      </w:r>
      <w:proofErr w:type="spellStart"/>
      <w:r w:rsidRPr="009924EA">
        <w:rPr>
          <w:rFonts w:asciiTheme="minorHAnsi" w:hAnsiTheme="minorHAnsi" w:cstheme="minorBidi"/>
          <w:sz w:val="24"/>
          <w:szCs w:val="24"/>
          <w:lang w:val="it-IT" w:eastAsia="en-US"/>
        </w:rPr>
        <w:t>Letters</w:t>
      </w:r>
      <w:proofErr w:type="spellEnd"/>
      <w:r w:rsidRPr="009924EA">
        <w:rPr>
          <w:rFonts w:asciiTheme="minorHAnsi" w:hAnsiTheme="minorHAnsi" w:cstheme="minorBidi"/>
          <w:sz w:val="24"/>
          <w:szCs w:val="24"/>
          <w:lang w:val="it-IT" w:eastAsia="en-US"/>
        </w:rPr>
        <w:t>, 45. https://doi.org/10.1029/2018GL077485</w:t>
      </w:r>
    </w:p>
    <w:p w14:paraId="39BA9462" w14:textId="77777777" w:rsidR="00534268" w:rsidRPr="009924EA" w:rsidRDefault="00A444FD" w:rsidP="009924EA">
      <w:pPr>
        <w:ind w:left="567" w:hanging="567"/>
        <w:jc w:val="both"/>
        <w:rPr>
          <w:lang w:val="it-IT"/>
        </w:rPr>
      </w:pPr>
      <w:proofErr w:type="spellStart"/>
      <w:r w:rsidRPr="009924EA">
        <w:rPr>
          <w:lang w:val="it-IT"/>
        </w:rPr>
        <w:t>Chiaraluce</w:t>
      </w:r>
      <w:proofErr w:type="spellEnd"/>
      <w:r w:rsidRPr="009924EA">
        <w:rPr>
          <w:lang w:val="it-IT"/>
        </w:rPr>
        <w:t xml:space="preserve">, L., Di Stefano, R., Tinti, E., Scognamiglio, L., Michele, M., Casarotti, E., et al. </w:t>
      </w:r>
      <w:r w:rsidR="003C0466" w:rsidRPr="003C0466">
        <w:t>(2017). The 2016 Central Italy seismic sequence: A first</w:t>
      </w:r>
      <w:r w:rsidR="003C0466">
        <w:t xml:space="preserve"> </w:t>
      </w:r>
      <w:r w:rsidR="003C0466" w:rsidRPr="003C0466">
        <w:t xml:space="preserve">look at the </w:t>
      </w:r>
      <w:proofErr w:type="spellStart"/>
      <w:r w:rsidR="003C0466" w:rsidRPr="003C0466">
        <w:t>mainshocks</w:t>
      </w:r>
      <w:proofErr w:type="spellEnd"/>
      <w:r w:rsidR="003C0466" w:rsidRPr="003C0466">
        <w:t xml:space="preserve">, aftershocks, and source models. </w:t>
      </w:r>
      <w:proofErr w:type="spellStart"/>
      <w:r w:rsidRPr="009924EA">
        <w:rPr>
          <w:lang w:val="it-IT"/>
        </w:rPr>
        <w:t>Seismological</w:t>
      </w:r>
      <w:proofErr w:type="spellEnd"/>
      <w:r w:rsidRPr="009924EA">
        <w:rPr>
          <w:lang w:val="it-IT"/>
        </w:rPr>
        <w:t xml:space="preserve"> </w:t>
      </w:r>
      <w:proofErr w:type="spellStart"/>
      <w:r w:rsidRPr="009924EA">
        <w:rPr>
          <w:lang w:val="it-IT"/>
        </w:rPr>
        <w:t>Research</w:t>
      </w:r>
      <w:proofErr w:type="spellEnd"/>
      <w:r w:rsidRPr="009924EA">
        <w:rPr>
          <w:lang w:val="it-IT"/>
        </w:rPr>
        <w:t xml:space="preserve"> </w:t>
      </w:r>
      <w:proofErr w:type="spellStart"/>
      <w:r w:rsidRPr="009924EA">
        <w:rPr>
          <w:lang w:val="it-IT"/>
        </w:rPr>
        <w:t>Letters</w:t>
      </w:r>
      <w:proofErr w:type="spellEnd"/>
      <w:r w:rsidRPr="009924EA">
        <w:rPr>
          <w:lang w:val="it-IT"/>
        </w:rPr>
        <w:t xml:space="preserve">, 88(3). </w:t>
      </w:r>
      <w:hyperlink r:id="rId9" w:history="1">
        <w:r w:rsidRPr="009924EA">
          <w:rPr>
            <w:rStyle w:val="Collegamentoipertestuale"/>
            <w:lang w:val="it-IT"/>
          </w:rPr>
          <w:t>https://doi.org/10.1785/022016022</w:t>
        </w:r>
      </w:hyperlink>
    </w:p>
    <w:p w14:paraId="45DB4400" w14:textId="7D0A3BEF" w:rsidR="00534268" w:rsidRDefault="00A444FD" w:rsidP="009924EA">
      <w:pPr>
        <w:ind w:left="567" w:hanging="567"/>
        <w:jc w:val="both"/>
        <w:rPr>
          <w:lang w:val="it-IT"/>
        </w:rPr>
      </w:pPr>
      <w:proofErr w:type="spellStart"/>
      <w:r w:rsidRPr="009924EA">
        <w:rPr>
          <w:lang w:val="it-IT"/>
        </w:rPr>
        <w:t>Improta</w:t>
      </w:r>
      <w:proofErr w:type="spellEnd"/>
      <w:r w:rsidR="00C45AAE">
        <w:rPr>
          <w:lang w:val="it-IT"/>
        </w:rPr>
        <w:t xml:space="preserve"> L.</w:t>
      </w:r>
      <w:r w:rsidRPr="009924EA">
        <w:rPr>
          <w:lang w:val="it-IT"/>
        </w:rPr>
        <w:t xml:space="preserve">, </w:t>
      </w:r>
      <w:proofErr w:type="spellStart"/>
      <w:r w:rsidRPr="009924EA">
        <w:rPr>
          <w:lang w:val="it-IT"/>
        </w:rPr>
        <w:t>Latorre</w:t>
      </w:r>
      <w:proofErr w:type="spellEnd"/>
      <w:r w:rsidR="00C45AAE">
        <w:rPr>
          <w:lang w:val="it-IT"/>
        </w:rPr>
        <w:t xml:space="preserve"> D.</w:t>
      </w:r>
      <w:r w:rsidRPr="009924EA">
        <w:rPr>
          <w:lang w:val="it-IT"/>
        </w:rPr>
        <w:t>, Margheriti</w:t>
      </w:r>
      <w:r w:rsidR="00C45AAE">
        <w:rPr>
          <w:lang w:val="it-IT"/>
        </w:rPr>
        <w:t xml:space="preserve"> L.</w:t>
      </w:r>
      <w:r w:rsidRPr="009924EA">
        <w:rPr>
          <w:lang w:val="it-IT"/>
        </w:rPr>
        <w:t>, Nardi</w:t>
      </w:r>
      <w:r w:rsidR="00C45AAE">
        <w:rPr>
          <w:lang w:val="it-IT"/>
        </w:rPr>
        <w:t xml:space="preserve"> A.</w:t>
      </w:r>
      <w:r w:rsidRPr="009924EA">
        <w:rPr>
          <w:lang w:val="it-IT"/>
        </w:rPr>
        <w:t>, Marchetti</w:t>
      </w:r>
      <w:r w:rsidR="00C45AAE">
        <w:rPr>
          <w:lang w:val="it-IT"/>
        </w:rPr>
        <w:t xml:space="preserve"> A.</w:t>
      </w:r>
      <w:r w:rsidRPr="009924EA">
        <w:rPr>
          <w:lang w:val="it-IT"/>
        </w:rPr>
        <w:t>, Lombardi</w:t>
      </w:r>
      <w:r w:rsidR="00C45AAE">
        <w:rPr>
          <w:lang w:val="it-IT"/>
        </w:rPr>
        <w:t xml:space="preserve"> A. M.</w:t>
      </w:r>
      <w:r w:rsidRPr="009924EA">
        <w:rPr>
          <w:lang w:val="it-IT"/>
        </w:rPr>
        <w:t>, Castello</w:t>
      </w:r>
      <w:r w:rsidR="00C45AAE">
        <w:rPr>
          <w:lang w:val="it-IT"/>
        </w:rPr>
        <w:t xml:space="preserve"> B.</w:t>
      </w:r>
      <w:r w:rsidRPr="009924EA">
        <w:rPr>
          <w:lang w:val="it-IT"/>
        </w:rPr>
        <w:t>, Ciaccio</w:t>
      </w:r>
      <w:r w:rsidR="00C45AAE">
        <w:rPr>
          <w:lang w:val="it-IT"/>
        </w:rPr>
        <w:t xml:space="preserve"> M.G.</w:t>
      </w:r>
      <w:r w:rsidRPr="009924EA">
        <w:rPr>
          <w:lang w:val="it-IT"/>
        </w:rPr>
        <w:t>, Mele</w:t>
      </w:r>
      <w:r w:rsidR="00C45AAE">
        <w:rPr>
          <w:lang w:val="it-IT"/>
        </w:rPr>
        <w:t xml:space="preserve"> F. M.</w:t>
      </w:r>
      <w:r w:rsidRPr="009924EA">
        <w:rPr>
          <w:lang w:val="it-IT"/>
        </w:rPr>
        <w:t>, Moretti</w:t>
      </w:r>
      <w:r w:rsidR="00C45AAE">
        <w:rPr>
          <w:lang w:val="it-IT"/>
        </w:rPr>
        <w:t xml:space="preserve"> M.</w:t>
      </w:r>
      <w:r w:rsidRPr="009924EA">
        <w:rPr>
          <w:lang w:val="it-IT"/>
        </w:rPr>
        <w:t xml:space="preserve">, and the Bollettino Sismico Italiano </w:t>
      </w:r>
      <w:proofErr w:type="spellStart"/>
      <w:r w:rsidRPr="009924EA">
        <w:rPr>
          <w:lang w:val="it-IT"/>
        </w:rPr>
        <w:t>Working</w:t>
      </w:r>
      <w:proofErr w:type="spellEnd"/>
      <w:r w:rsidRPr="009924EA">
        <w:rPr>
          <w:lang w:val="it-IT"/>
        </w:rPr>
        <w:t xml:space="preserve"> Group (2018) </w:t>
      </w:r>
      <w:proofErr w:type="spellStart"/>
      <w:r w:rsidRPr="009924EA">
        <w:rPr>
          <w:lang w:val="it-IT"/>
        </w:rPr>
        <w:t>Early</w:t>
      </w:r>
      <w:proofErr w:type="spellEnd"/>
      <w:r w:rsidRPr="009924EA">
        <w:rPr>
          <w:lang w:val="it-IT"/>
        </w:rPr>
        <w:t xml:space="preserve"> </w:t>
      </w:r>
      <w:proofErr w:type="spellStart"/>
      <w:r w:rsidRPr="009924EA">
        <w:rPr>
          <w:lang w:val="it-IT"/>
        </w:rPr>
        <w:t>Aftershocks</w:t>
      </w:r>
      <w:proofErr w:type="spellEnd"/>
      <w:r w:rsidRPr="009924EA">
        <w:rPr>
          <w:lang w:val="it-IT"/>
        </w:rPr>
        <w:t xml:space="preserve"> of the 2016-2017 Amatrice-Visso-Norcia </w:t>
      </w:r>
      <w:proofErr w:type="spellStart"/>
      <w:r w:rsidRPr="009924EA">
        <w:rPr>
          <w:lang w:val="it-IT"/>
        </w:rPr>
        <w:t>seismic</w:t>
      </w:r>
      <w:proofErr w:type="spellEnd"/>
      <w:r w:rsidRPr="009924EA">
        <w:rPr>
          <w:lang w:val="it-IT"/>
        </w:rPr>
        <w:t xml:space="preserve"> </w:t>
      </w:r>
      <w:proofErr w:type="spellStart"/>
      <w:r w:rsidRPr="009924EA">
        <w:rPr>
          <w:lang w:val="it-IT"/>
        </w:rPr>
        <w:t>sequence</w:t>
      </w:r>
      <w:proofErr w:type="spellEnd"/>
      <w:r w:rsidRPr="009924EA">
        <w:rPr>
          <w:lang w:val="it-IT"/>
        </w:rPr>
        <w:t xml:space="preserve"> (</w:t>
      </w:r>
      <w:proofErr w:type="spellStart"/>
      <w:r w:rsidRPr="009924EA">
        <w:rPr>
          <w:lang w:val="it-IT"/>
        </w:rPr>
        <w:t>central</w:t>
      </w:r>
      <w:proofErr w:type="spellEnd"/>
      <w:r w:rsidRPr="009924EA">
        <w:rPr>
          <w:lang w:val="it-IT"/>
        </w:rPr>
        <w:t xml:space="preserve"> </w:t>
      </w:r>
      <w:proofErr w:type="spellStart"/>
      <w:r w:rsidRPr="009924EA">
        <w:rPr>
          <w:lang w:val="it-IT"/>
        </w:rPr>
        <w:t>Italy</w:t>
      </w:r>
      <w:proofErr w:type="spellEnd"/>
      <w:r w:rsidRPr="009924EA">
        <w:rPr>
          <w:lang w:val="it-IT"/>
        </w:rPr>
        <w:t>): a high-</w:t>
      </w:r>
      <w:proofErr w:type="spellStart"/>
      <w:r w:rsidRPr="009924EA">
        <w:rPr>
          <w:lang w:val="it-IT"/>
        </w:rPr>
        <w:t>quality</w:t>
      </w:r>
      <w:proofErr w:type="spellEnd"/>
      <w:r w:rsidRPr="009924EA">
        <w:rPr>
          <w:lang w:val="it-IT"/>
        </w:rPr>
        <w:t xml:space="preserve"> </w:t>
      </w:r>
      <w:proofErr w:type="spellStart"/>
      <w:r w:rsidRPr="009924EA">
        <w:rPr>
          <w:lang w:val="it-IT"/>
        </w:rPr>
        <w:t>comprehensive</w:t>
      </w:r>
      <w:proofErr w:type="spellEnd"/>
      <w:r w:rsidRPr="009924EA">
        <w:rPr>
          <w:lang w:val="it-IT"/>
        </w:rPr>
        <w:t xml:space="preserve"> </w:t>
      </w:r>
      <w:proofErr w:type="spellStart"/>
      <w:r w:rsidRPr="009924EA">
        <w:rPr>
          <w:lang w:val="it-IT"/>
        </w:rPr>
        <w:t>earthquake</w:t>
      </w:r>
      <w:proofErr w:type="spellEnd"/>
      <w:r w:rsidRPr="009924EA">
        <w:rPr>
          <w:lang w:val="it-IT"/>
        </w:rPr>
        <w:t xml:space="preserve"> </w:t>
      </w:r>
      <w:proofErr w:type="spellStart"/>
      <w:proofErr w:type="gramStart"/>
      <w:r w:rsidRPr="009924EA">
        <w:rPr>
          <w:lang w:val="it-IT"/>
        </w:rPr>
        <w:t>catalog</w:t>
      </w:r>
      <w:proofErr w:type="spellEnd"/>
      <w:r w:rsidRPr="009924EA">
        <w:rPr>
          <w:lang w:val="it-IT"/>
        </w:rPr>
        <w:t xml:space="preserve">  and</w:t>
      </w:r>
      <w:proofErr w:type="gramEnd"/>
      <w:r w:rsidRPr="009924EA">
        <w:rPr>
          <w:lang w:val="it-IT"/>
        </w:rPr>
        <w:t xml:space="preserve"> </w:t>
      </w:r>
      <w:proofErr w:type="spellStart"/>
      <w:r w:rsidRPr="009924EA">
        <w:rPr>
          <w:lang w:val="it-IT"/>
        </w:rPr>
        <w:t>seismotectonic</w:t>
      </w:r>
      <w:proofErr w:type="spellEnd"/>
      <w:r w:rsidRPr="009924EA">
        <w:rPr>
          <w:lang w:val="it-IT"/>
        </w:rPr>
        <w:t xml:space="preserve"> </w:t>
      </w:r>
      <w:proofErr w:type="spellStart"/>
      <w:r w:rsidRPr="009924EA">
        <w:rPr>
          <w:lang w:val="it-IT"/>
        </w:rPr>
        <w:t>inferences</w:t>
      </w:r>
      <w:proofErr w:type="spellEnd"/>
      <w:r w:rsidRPr="009924EA">
        <w:rPr>
          <w:lang w:val="it-IT"/>
        </w:rPr>
        <w:t xml:space="preserve"> In </w:t>
      </w:r>
      <w:proofErr w:type="spellStart"/>
      <w:r w:rsidRPr="009924EA">
        <w:rPr>
          <w:lang w:val="it-IT"/>
        </w:rPr>
        <w:t>prep</w:t>
      </w:r>
      <w:proofErr w:type="spellEnd"/>
      <w:r w:rsidRPr="009924EA">
        <w:rPr>
          <w:lang w:val="it-IT"/>
        </w:rPr>
        <w:t>.</w:t>
      </w:r>
    </w:p>
    <w:p w14:paraId="07CC8A05" w14:textId="77777777" w:rsidR="00534268" w:rsidRPr="009924EA" w:rsidRDefault="0000165E" w:rsidP="009924EA">
      <w:pPr>
        <w:ind w:left="567" w:hanging="567"/>
        <w:jc w:val="both"/>
        <w:rPr>
          <w:lang w:val="en-US"/>
        </w:rPr>
      </w:pPr>
      <w:r w:rsidRPr="0000165E">
        <w:rPr>
          <w:lang w:val="it-IT"/>
        </w:rPr>
        <w:t>Marchetti A., M. G. Ciaccio, A. Nardi, A. Bono, F. M. Mele, L. Margheriti, A. Rossi, P. Battelli,</w:t>
      </w:r>
      <w:r>
        <w:rPr>
          <w:lang w:val="it-IT"/>
        </w:rPr>
        <w:t xml:space="preserve"> </w:t>
      </w:r>
      <w:r w:rsidRPr="0000165E">
        <w:rPr>
          <w:lang w:val="it-IT"/>
        </w:rPr>
        <w:t xml:space="preserve">C. </w:t>
      </w:r>
      <w:proofErr w:type="spellStart"/>
      <w:r w:rsidRPr="0000165E">
        <w:rPr>
          <w:lang w:val="it-IT"/>
        </w:rPr>
        <w:t>Melorio</w:t>
      </w:r>
      <w:proofErr w:type="spellEnd"/>
      <w:r w:rsidRPr="0000165E">
        <w:rPr>
          <w:lang w:val="it-IT"/>
        </w:rPr>
        <w:t xml:space="preserve">, B. Castello, V. </w:t>
      </w:r>
      <w:proofErr w:type="spellStart"/>
      <w:r w:rsidRPr="0000165E">
        <w:rPr>
          <w:lang w:val="it-IT"/>
        </w:rPr>
        <w:t>Lauciani</w:t>
      </w:r>
      <w:proofErr w:type="spellEnd"/>
      <w:r w:rsidRPr="0000165E">
        <w:rPr>
          <w:lang w:val="it-IT"/>
        </w:rPr>
        <w:t xml:space="preserve">, M. Berardi, C. Castellano, L. </w:t>
      </w:r>
      <w:proofErr w:type="spellStart"/>
      <w:r w:rsidRPr="0000165E">
        <w:rPr>
          <w:lang w:val="it-IT"/>
        </w:rPr>
        <w:t>Arcoraci</w:t>
      </w:r>
      <w:proofErr w:type="spellEnd"/>
      <w:r w:rsidRPr="0000165E">
        <w:rPr>
          <w:lang w:val="it-IT"/>
        </w:rPr>
        <w:t>, G. Lozzi, A.</w:t>
      </w:r>
      <w:r>
        <w:rPr>
          <w:lang w:val="it-IT"/>
        </w:rPr>
        <w:t xml:space="preserve"> </w:t>
      </w:r>
      <w:r w:rsidRPr="0000165E">
        <w:rPr>
          <w:lang w:val="it-IT"/>
        </w:rPr>
        <w:t xml:space="preserve">Battelli, C. </w:t>
      </w:r>
      <w:bookmarkStart w:id="0" w:name="_GoBack"/>
      <w:proofErr w:type="spellStart"/>
      <w:r w:rsidRPr="0000165E">
        <w:rPr>
          <w:lang w:val="it-IT"/>
        </w:rPr>
        <w:t>Thermes</w:t>
      </w:r>
      <w:proofErr w:type="spellEnd"/>
      <w:r w:rsidRPr="0000165E">
        <w:rPr>
          <w:lang w:val="it-IT"/>
        </w:rPr>
        <w:t xml:space="preserve">, N. Pagliuca, G. Modica, A. Lisi, L. Pizzino, P. </w:t>
      </w:r>
      <w:proofErr w:type="spellStart"/>
      <w:r w:rsidRPr="0000165E">
        <w:rPr>
          <w:lang w:val="it-IT"/>
        </w:rPr>
        <w:t>Baccheschi</w:t>
      </w:r>
      <w:proofErr w:type="spellEnd"/>
      <w:r w:rsidRPr="0000165E">
        <w:rPr>
          <w:lang w:val="it-IT"/>
        </w:rPr>
        <w:t>, S. Pintore, M.</w:t>
      </w:r>
      <w:r>
        <w:rPr>
          <w:lang w:val="it-IT"/>
        </w:rPr>
        <w:t xml:space="preserve"> </w:t>
      </w:r>
      <w:proofErr w:type="spellStart"/>
      <w:r w:rsidRPr="0000165E">
        <w:rPr>
          <w:lang w:val="it-IT"/>
        </w:rPr>
        <w:t>Quintiliani</w:t>
      </w:r>
      <w:proofErr w:type="spellEnd"/>
      <w:r w:rsidRPr="0000165E">
        <w:rPr>
          <w:lang w:val="it-IT"/>
        </w:rPr>
        <w:t xml:space="preserve">, A. </w:t>
      </w:r>
      <w:bookmarkEnd w:id="0"/>
      <w:proofErr w:type="spellStart"/>
      <w:r w:rsidRPr="0000165E">
        <w:rPr>
          <w:lang w:val="it-IT"/>
        </w:rPr>
        <w:t>Mandiello</w:t>
      </w:r>
      <w:proofErr w:type="spellEnd"/>
      <w:r w:rsidRPr="0000165E">
        <w:rPr>
          <w:lang w:val="it-IT"/>
        </w:rPr>
        <w:t xml:space="preserve">, C. Marcocci, M. </w:t>
      </w:r>
      <w:proofErr w:type="spellStart"/>
      <w:r w:rsidRPr="0000165E">
        <w:rPr>
          <w:lang w:val="it-IT"/>
        </w:rPr>
        <w:t>Fares</w:t>
      </w:r>
      <w:proofErr w:type="spellEnd"/>
      <w:r w:rsidRPr="0000165E">
        <w:rPr>
          <w:lang w:val="it-IT"/>
        </w:rPr>
        <w:t xml:space="preserve">, D. Cheloni, A. </w:t>
      </w:r>
      <w:proofErr w:type="spellStart"/>
      <w:r w:rsidRPr="0000165E">
        <w:rPr>
          <w:lang w:val="it-IT"/>
        </w:rPr>
        <w:t>Frepoli</w:t>
      </w:r>
      <w:proofErr w:type="spellEnd"/>
      <w:r w:rsidRPr="0000165E">
        <w:rPr>
          <w:lang w:val="it-IT"/>
        </w:rPr>
        <w:t xml:space="preserve">, D. </w:t>
      </w:r>
      <w:proofErr w:type="spellStart"/>
      <w:r w:rsidRPr="0000165E">
        <w:rPr>
          <w:lang w:val="it-IT"/>
        </w:rPr>
        <w:t>Latorre</w:t>
      </w:r>
      <w:proofErr w:type="spellEnd"/>
      <w:r w:rsidRPr="0000165E">
        <w:rPr>
          <w:lang w:val="it-IT"/>
        </w:rPr>
        <w:t>,</w:t>
      </w:r>
      <w:r>
        <w:rPr>
          <w:lang w:val="it-IT"/>
        </w:rPr>
        <w:t xml:space="preserve"> </w:t>
      </w:r>
      <w:r w:rsidRPr="0000165E">
        <w:rPr>
          <w:lang w:val="it-IT"/>
        </w:rPr>
        <w:t xml:space="preserve">A.M. Lombardi, M. Moretti, M. Pastori, M. </w:t>
      </w:r>
      <w:proofErr w:type="spellStart"/>
      <w:r w:rsidRPr="0000165E">
        <w:rPr>
          <w:lang w:val="it-IT"/>
        </w:rPr>
        <w:t>Vallocchia</w:t>
      </w:r>
      <w:proofErr w:type="spellEnd"/>
      <w:r w:rsidRPr="0000165E">
        <w:rPr>
          <w:lang w:val="it-IT"/>
        </w:rPr>
        <w:t xml:space="preserve">, A. Govoni, L. Scognamiglio, A. </w:t>
      </w:r>
      <w:proofErr w:type="spellStart"/>
      <w:r w:rsidRPr="0000165E">
        <w:rPr>
          <w:lang w:val="it-IT"/>
        </w:rPr>
        <w:t>Basili</w:t>
      </w:r>
      <w:proofErr w:type="spellEnd"/>
      <w:r w:rsidRPr="0000165E">
        <w:rPr>
          <w:lang w:val="it-IT"/>
        </w:rPr>
        <w:t>,</w:t>
      </w:r>
      <w:r>
        <w:rPr>
          <w:lang w:val="it-IT"/>
        </w:rPr>
        <w:t xml:space="preserve"> </w:t>
      </w:r>
      <w:r w:rsidRPr="0000165E">
        <w:rPr>
          <w:lang w:val="it-IT"/>
        </w:rPr>
        <w:t xml:space="preserve">A. </w:t>
      </w:r>
      <w:proofErr w:type="spellStart"/>
      <w:r w:rsidRPr="0000165E">
        <w:rPr>
          <w:lang w:val="it-IT"/>
        </w:rPr>
        <w:t>Michelini</w:t>
      </w:r>
      <w:proofErr w:type="spellEnd"/>
      <w:r w:rsidRPr="0000165E">
        <w:rPr>
          <w:lang w:val="it-IT"/>
        </w:rPr>
        <w:t xml:space="preserve"> And S. Mazza</w:t>
      </w:r>
      <w:r>
        <w:rPr>
          <w:lang w:val="it-IT"/>
        </w:rPr>
        <w:t xml:space="preserve"> </w:t>
      </w:r>
      <w:r w:rsidRPr="0000165E">
        <w:rPr>
          <w:lang w:val="it-IT"/>
        </w:rPr>
        <w:t xml:space="preserve"> </w:t>
      </w:r>
      <w:r w:rsidR="00A444FD" w:rsidRPr="009924EA">
        <w:rPr>
          <w:lang w:val="it-IT"/>
        </w:rPr>
        <w:t xml:space="preserve">(2016). </w:t>
      </w:r>
      <w:r w:rsidR="001849D0" w:rsidRPr="001849D0">
        <w:t xml:space="preserve">The Italian Seismic Bulletin: strategies, revised pickings and locations of the </w:t>
      </w:r>
      <w:proofErr w:type="spellStart"/>
      <w:r w:rsidR="001849D0" w:rsidRPr="001849D0">
        <w:t>Amatrice</w:t>
      </w:r>
      <w:proofErr w:type="spellEnd"/>
      <w:r w:rsidR="001849D0" w:rsidRPr="001849D0">
        <w:t xml:space="preserve"> seismic sequence, Ann. </w:t>
      </w:r>
      <w:proofErr w:type="spellStart"/>
      <w:r w:rsidR="001849D0" w:rsidRPr="001849D0">
        <w:t>Geophyiscs</w:t>
      </w:r>
      <w:proofErr w:type="spellEnd"/>
      <w:r w:rsidR="001849D0" w:rsidRPr="001849D0">
        <w:t>, DOI: 10.4401/ag-7169.</w:t>
      </w:r>
    </w:p>
    <w:p w14:paraId="4CD7A95F" w14:textId="77777777" w:rsidR="00534268" w:rsidRPr="009924EA" w:rsidRDefault="00A444FD" w:rsidP="009924EA">
      <w:pPr>
        <w:ind w:left="567" w:hanging="567"/>
        <w:jc w:val="both"/>
        <w:rPr>
          <w:lang w:val="it-IT"/>
        </w:rPr>
      </w:pPr>
      <w:r w:rsidRPr="009924EA">
        <w:rPr>
          <w:lang w:val="it-IT"/>
        </w:rPr>
        <w:t xml:space="preserve">Moretti, M., </w:t>
      </w:r>
      <w:proofErr w:type="spellStart"/>
      <w:r w:rsidRPr="009924EA">
        <w:rPr>
          <w:lang w:val="it-IT"/>
        </w:rPr>
        <w:t>Baptie</w:t>
      </w:r>
      <w:proofErr w:type="spellEnd"/>
      <w:r w:rsidRPr="009924EA">
        <w:rPr>
          <w:lang w:val="it-IT"/>
        </w:rPr>
        <w:t xml:space="preserve">, B., &amp; Segou, M. (2016). </w:t>
      </w:r>
      <w:r w:rsidR="0054345D" w:rsidRPr="0054345D">
        <w:t>SISMIKO: Emergency network deployment and data sharing for the 2016 central Italy seismic</w:t>
      </w:r>
      <w:r w:rsidR="0054345D">
        <w:t xml:space="preserve"> </w:t>
      </w:r>
      <w:r w:rsidR="0054345D" w:rsidRPr="0054345D">
        <w:t xml:space="preserve">sequence. </w:t>
      </w:r>
      <w:r w:rsidRPr="009924EA">
        <w:rPr>
          <w:lang w:val="it-IT"/>
        </w:rPr>
        <w:t xml:space="preserve">Annales de </w:t>
      </w:r>
      <w:proofErr w:type="spellStart"/>
      <w:r w:rsidRPr="009924EA">
        <w:rPr>
          <w:lang w:val="it-IT"/>
        </w:rPr>
        <w:t>Geophysique</w:t>
      </w:r>
      <w:proofErr w:type="spellEnd"/>
      <w:r w:rsidRPr="009924EA">
        <w:rPr>
          <w:lang w:val="it-IT"/>
        </w:rPr>
        <w:t>, 59(5). https://doi.org/10.4401/ag-7212</w:t>
      </w:r>
    </w:p>
    <w:p w14:paraId="08898D43" w14:textId="77777777" w:rsidR="00534268" w:rsidRDefault="00A444FD" w:rsidP="009924EA">
      <w:pPr>
        <w:ind w:left="567" w:hanging="567"/>
        <w:jc w:val="both"/>
      </w:pPr>
      <w:r w:rsidRPr="009924EA">
        <w:rPr>
          <w:lang w:val="it-IT"/>
        </w:rPr>
        <w:t xml:space="preserve">Scognamiglio, L., Tinti, E., Casarotti, E., Pucci, S., Villani, F., Cocco, M., et al. </w:t>
      </w:r>
      <w:r w:rsidR="00CE611E" w:rsidRPr="00CE611E">
        <w:t>(2018). Complex fault geometry and rupture dynamics of the MW</w:t>
      </w:r>
      <w:r w:rsidR="00CE611E">
        <w:t xml:space="preserve"> </w:t>
      </w:r>
      <w:r w:rsidR="00CE611E" w:rsidRPr="00CE611E">
        <w:t>6.5, 30 October 2016, Central Italy earthquake. Journal of Geophysical Research: Solid Earth, 123, 2943–2964. https://doi.org/10.1002/2018JB015603</w:t>
      </w:r>
    </w:p>
    <w:p w14:paraId="1FFCFE76" w14:textId="77777777" w:rsidR="006119FB" w:rsidRPr="009924EA" w:rsidRDefault="00E76436" w:rsidP="009924EA">
      <w:pPr>
        <w:ind w:left="567" w:hanging="567"/>
        <w:jc w:val="both"/>
      </w:pPr>
      <w:r w:rsidRPr="00E76436">
        <w:t xml:space="preserve">Villani, F., Civico, R., </w:t>
      </w:r>
      <w:proofErr w:type="spellStart"/>
      <w:r w:rsidRPr="00E76436">
        <w:t>Pucci</w:t>
      </w:r>
      <w:proofErr w:type="spellEnd"/>
      <w:r w:rsidRPr="00E76436">
        <w:t xml:space="preserve">, S., </w:t>
      </w:r>
      <w:proofErr w:type="spellStart"/>
      <w:r w:rsidRPr="00E76436">
        <w:t>Pizzimenti</w:t>
      </w:r>
      <w:proofErr w:type="spellEnd"/>
      <w:r w:rsidRPr="00E76436">
        <w:t xml:space="preserve">, L., </w:t>
      </w:r>
      <w:proofErr w:type="spellStart"/>
      <w:r w:rsidRPr="00E76436">
        <w:t>Nappi</w:t>
      </w:r>
      <w:proofErr w:type="spellEnd"/>
      <w:r w:rsidRPr="00E76436">
        <w:t xml:space="preserve">, R., De Martini, P. M., &amp; the Open EMERGEO Working Group (2018). A database of the </w:t>
      </w:r>
      <w:proofErr w:type="spellStart"/>
      <w:r w:rsidRPr="00E76436">
        <w:t>coseismic</w:t>
      </w:r>
      <w:proofErr w:type="spellEnd"/>
      <w:r>
        <w:t xml:space="preserve"> </w:t>
      </w:r>
      <w:r w:rsidRPr="00E76436">
        <w:t>effects following the 30 October 2016 Norcia earthquake in Central Italy. Science Data, 5, 180049. https://doi.org/10.1038/sdata.2018.49</w:t>
      </w:r>
    </w:p>
    <w:sectPr w:rsidR="006119FB" w:rsidRPr="009924EA" w:rsidSect="001434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61C29"/>
    <w:multiLevelType w:val="multilevel"/>
    <w:tmpl w:val="17C2B5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E9"/>
    <w:rsid w:val="000013E4"/>
    <w:rsid w:val="0000165E"/>
    <w:rsid w:val="00051B29"/>
    <w:rsid w:val="00087058"/>
    <w:rsid w:val="000B7BD4"/>
    <w:rsid w:val="000C5251"/>
    <w:rsid w:val="000C7CC1"/>
    <w:rsid w:val="00133EC0"/>
    <w:rsid w:val="0014343C"/>
    <w:rsid w:val="00145E1A"/>
    <w:rsid w:val="00170CBD"/>
    <w:rsid w:val="00171025"/>
    <w:rsid w:val="001839FF"/>
    <w:rsid w:val="001849D0"/>
    <w:rsid w:val="00191FFE"/>
    <w:rsid w:val="001C40CC"/>
    <w:rsid w:val="001F7F6E"/>
    <w:rsid w:val="00236BD7"/>
    <w:rsid w:val="00283B43"/>
    <w:rsid w:val="002972EB"/>
    <w:rsid w:val="002A0D03"/>
    <w:rsid w:val="002E410C"/>
    <w:rsid w:val="00303927"/>
    <w:rsid w:val="0038598A"/>
    <w:rsid w:val="003A5292"/>
    <w:rsid w:val="003C0466"/>
    <w:rsid w:val="003E6299"/>
    <w:rsid w:val="00412CC9"/>
    <w:rsid w:val="00426C1C"/>
    <w:rsid w:val="00481C58"/>
    <w:rsid w:val="00491A5D"/>
    <w:rsid w:val="004A5C70"/>
    <w:rsid w:val="004A793B"/>
    <w:rsid w:val="004B0E6D"/>
    <w:rsid w:val="004B4CDE"/>
    <w:rsid w:val="004B65E9"/>
    <w:rsid w:val="005153EE"/>
    <w:rsid w:val="00534268"/>
    <w:rsid w:val="0054345D"/>
    <w:rsid w:val="005572E9"/>
    <w:rsid w:val="00567F15"/>
    <w:rsid w:val="00603C8C"/>
    <w:rsid w:val="006119FB"/>
    <w:rsid w:val="00641C80"/>
    <w:rsid w:val="006721E0"/>
    <w:rsid w:val="00752499"/>
    <w:rsid w:val="00752BE6"/>
    <w:rsid w:val="00773939"/>
    <w:rsid w:val="007B1FE3"/>
    <w:rsid w:val="007D0345"/>
    <w:rsid w:val="0081696F"/>
    <w:rsid w:val="00847E8F"/>
    <w:rsid w:val="008847ED"/>
    <w:rsid w:val="00891960"/>
    <w:rsid w:val="00893ED4"/>
    <w:rsid w:val="008A7CCC"/>
    <w:rsid w:val="008B1B75"/>
    <w:rsid w:val="00921868"/>
    <w:rsid w:val="0096083D"/>
    <w:rsid w:val="009924EA"/>
    <w:rsid w:val="00992C64"/>
    <w:rsid w:val="00997541"/>
    <w:rsid w:val="009F2331"/>
    <w:rsid w:val="00A02F81"/>
    <w:rsid w:val="00A444FD"/>
    <w:rsid w:val="00A80AC9"/>
    <w:rsid w:val="00AC3AA1"/>
    <w:rsid w:val="00B04EC8"/>
    <w:rsid w:val="00BC5E96"/>
    <w:rsid w:val="00C146D5"/>
    <w:rsid w:val="00C45AAE"/>
    <w:rsid w:val="00C64800"/>
    <w:rsid w:val="00C7399B"/>
    <w:rsid w:val="00CE611E"/>
    <w:rsid w:val="00D703AD"/>
    <w:rsid w:val="00E61322"/>
    <w:rsid w:val="00E61DC1"/>
    <w:rsid w:val="00E76436"/>
    <w:rsid w:val="00EB5663"/>
    <w:rsid w:val="00ED0BFA"/>
    <w:rsid w:val="00EF0F97"/>
    <w:rsid w:val="00EF5D30"/>
    <w:rsid w:val="00F5395B"/>
    <w:rsid w:val="00F70038"/>
    <w:rsid w:val="00FD7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B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4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7541"/>
    <w:rPr>
      <w:color w:val="0563C1" w:themeColor="hyperlink"/>
      <w:u w:val="single"/>
    </w:rPr>
  </w:style>
  <w:style w:type="paragraph" w:styleId="Testofumetto">
    <w:name w:val="Balloon Text"/>
    <w:basedOn w:val="Normale"/>
    <w:link w:val="TestofumettoCarattere"/>
    <w:uiPriority w:val="99"/>
    <w:semiHidden/>
    <w:unhideWhenUsed/>
    <w:rsid w:val="00603C8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03C8C"/>
    <w:rPr>
      <w:rFonts w:ascii="Times New Roman" w:hAnsi="Times New Roman" w:cs="Times New Roman"/>
      <w:sz w:val="18"/>
      <w:szCs w:val="18"/>
    </w:rPr>
  </w:style>
  <w:style w:type="paragraph" w:customStyle="1" w:styleId="p1">
    <w:name w:val="p1"/>
    <w:basedOn w:val="Normale"/>
    <w:rsid w:val="003C0466"/>
    <w:rPr>
      <w:rFonts w:ascii="Helvetica" w:hAnsi="Helvetica" w:cs="Times New Roman"/>
      <w:sz w:val="11"/>
      <w:szCs w:val="11"/>
      <w:lang w:eastAsia="en-GB"/>
    </w:rPr>
  </w:style>
  <w:style w:type="character" w:customStyle="1" w:styleId="apple-converted-space">
    <w:name w:val="apple-converted-space"/>
    <w:basedOn w:val="Carpredefinitoparagrafo"/>
    <w:rsid w:val="00891960"/>
  </w:style>
  <w:style w:type="paragraph" w:customStyle="1" w:styleId="Normal1">
    <w:name w:val="Normal1"/>
    <w:rsid w:val="00481C58"/>
    <w:pPr>
      <w:spacing w:line="276" w:lineRule="auto"/>
    </w:pPr>
    <w:rPr>
      <w:rFonts w:ascii="Arial" w:eastAsia="Arial" w:hAnsi="Arial" w:cs="Arial"/>
      <w:sz w:val="22"/>
      <w:szCs w:val="22"/>
      <w:lang w:val="it-IT" w:eastAsia="it-IT"/>
    </w:rPr>
  </w:style>
  <w:style w:type="character" w:styleId="Rimandocommento">
    <w:name w:val="annotation reference"/>
    <w:basedOn w:val="Carpredefinitoparagrafo"/>
    <w:uiPriority w:val="99"/>
    <w:semiHidden/>
    <w:unhideWhenUsed/>
    <w:rsid w:val="00ED0BFA"/>
    <w:rPr>
      <w:sz w:val="16"/>
      <w:szCs w:val="16"/>
    </w:rPr>
  </w:style>
  <w:style w:type="paragraph" w:styleId="Testocommento">
    <w:name w:val="annotation text"/>
    <w:basedOn w:val="Normale"/>
    <w:link w:val="TestocommentoCarattere"/>
    <w:uiPriority w:val="99"/>
    <w:semiHidden/>
    <w:unhideWhenUsed/>
    <w:rsid w:val="00ED0BFA"/>
    <w:rPr>
      <w:sz w:val="20"/>
      <w:szCs w:val="20"/>
    </w:rPr>
  </w:style>
  <w:style w:type="character" w:customStyle="1" w:styleId="TestocommentoCarattere">
    <w:name w:val="Testo commento Carattere"/>
    <w:basedOn w:val="Carpredefinitoparagrafo"/>
    <w:link w:val="Testocommento"/>
    <w:uiPriority w:val="99"/>
    <w:semiHidden/>
    <w:rsid w:val="00ED0BFA"/>
    <w:rPr>
      <w:sz w:val="20"/>
      <w:szCs w:val="20"/>
    </w:rPr>
  </w:style>
  <w:style w:type="paragraph" w:styleId="Soggettocommento">
    <w:name w:val="annotation subject"/>
    <w:basedOn w:val="Testocommento"/>
    <w:next w:val="Testocommento"/>
    <w:link w:val="SoggettocommentoCarattere"/>
    <w:uiPriority w:val="99"/>
    <w:semiHidden/>
    <w:unhideWhenUsed/>
    <w:rsid w:val="00ED0BFA"/>
    <w:rPr>
      <w:b/>
      <w:bCs/>
    </w:rPr>
  </w:style>
  <w:style w:type="character" w:customStyle="1" w:styleId="SoggettocommentoCarattere">
    <w:name w:val="Soggetto commento Carattere"/>
    <w:basedOn w:val="TestocommentoCarattere"/>
    <w:link w:val="Soggettocommento"/>
    <w:uiPriority w:val="99"/>
    <w:semiHidden/>
    <w:rsid w:val="00ED0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41">
      <w:bodyDiv w:val="1"/>
      <w:marLeft w:val="0"/>
      <w:marRight w:val="0"/>
      <w:marTop w:val="0"/>
      <w:marBottom w:val="0"/>
      <w:divBdr>
        <w:top w:val="none" w:sz="0" w:space="0" w:color="auto"/>
        <w:left w:val="none" w:sz="0" w:space="0" w:color="auto"/>
        <w:bottom w:val="none" w:sz="0" w:space="0" w:color="auto"/>
        <w:right w:val="none" w:sz="0" w:space="0" w:color="auto"/>
      </w:divBdr>
    </w:div>
    <w:div w:id="87700077">
      <w:bodyDiv w:val="1"/>
      <w:marLeft w:val="0"/>
      <w:marRight w:val="0"/>
      <w:marTop w:val="0"/>
      <w:marBottom w:val="0"/>
      <w:divBdr>
        <w:top w:val="none" w:sz="0" w:space="0" w:color="auto"/>
        <w:left w:val="none" w:sz="0" w:space="0" w:color="auto"/>
        <w:bottom w:val="none" w:sz="0" w:space="0" w:color="auto"/>
        <w:right w:val="none" w:sz="0" w:space="0" w:color="auto"/>
      </w:divBdr>
      <w:divsChild>
        <w:div w:id="1054357154">
          <w:marLeft w:val="0"/>
          <w:marRight w:val="0"/>
          <w:marTop w:val="0"/>
          <w:marBottom w:val="0"/>
          <w:divBdr>
            <w:top w:val="none" w:sz="0" w:space="0" w:color="auto"/>
            <w:left w:val="none" w:sz="0" w:space="0" w:color="auto"/>
            <w:bottom w:val="none" w:sz="0" w:space="0" w:color="auto"/>
            <w:right w:val="none" w:sz="0" w:space="0" w:color="auto"/>
          </w:divBdr>
        </w:div>
      </w:divsChild>
    </w:div>
    <w:div w:id="195704433">
      <w:bodyDiv w:val="1"/>
      <w:marLeft w:val="0"/>
      <w:marRight w:val="0"/>
      <w:marTop w:val="0"/>
      <w:marBottom w:val="0"/>
      <w:divBdr>
        <w:top w:val="none" w:sz="0" w:space="0" w:color="auto"/>
        <w:left w:val="none" w:sz="0" w:space="0" w:color="auto"/>
        <w:bottom w:val="none" w:sz="0" w:space="0" w:color="auto"/>
        <w:right w:val="none" w:sz="0" w:space="0" w:color="auto"/>
      </w:divBdr>
    </w:div>
    <w:div w:id="199904296">
      <w:bodyDiv w:val="1"/>
      <w:marLeft w:val="0"/>
      <w:marRight w:val="0"/>
      <w:marTop w:val="0"/>
      <w:marBottom w:val="0"/>
      <w:divBdr>
        <w:top w:val="none" w:sz="0" w:space="0" w:color="auto"/>
        <w:left w:val="none" w:sz="0" w:space="0" w:color="auto"/>
        <w:bottom w:val="none" w:sz="0" w:space="0" w:color="auto"/>
        <w:right w:val="none" w:sz="0" w:space="0" w:color="auto"/>
      </w:divBdr>
    </w:div>
    <w:div w:id="711002453">
      <w:bodyDiv w:val="1"/>
      <w:marLeft w:val="0"/>
      <w:marRight w:val="0"/>
      <w:marTop w:val="0"/>
      <w:marBottom w:val="0"/>
      <w:divBdr>
        <w:top w:val="none" w:sz="0" w:space="0" w:color="auto"/>
        <w:left w:val="none" w:sz="0" w:space="0" w:color="auto"/>
        <w:bottom w:val="none" w:sz="0" w:space="0" w:color="auto"/>
        <w:right w:val="none" w:sz="0" w:space="0" w:color="auto"/>
      </w:divBdr>
    </w:div>
    <w:div w:id="723723918">
      <w:bodyDiv w:val="1"/>
      <w:marLeft w:val="0"/>
      <w:marRight w:val="0"/>
      <w:marTop w:val="0"/>
      <w:marBottom w:val="0"/>
      <w:divBdr>
        <w:top w:val="none" w:sz="0" w:space="0" w:color="auto"/>
        <w:left w:val="none" w:sz="0" w:space="0" w:color="auto"/>
        <w:bottom w:val="none" w:sz="0" w:space="0" w:color="auto"/>
        <w:right w:val="none" w:sz="0" w:space="0" w:color="auto"/>
      </w:divBdr>
    </w:div>
    <w:div w:id="784664161">
      <w:bodyDiv w:val="1"/>
      <w:marLeft w:val="0"/>
      <w:marRight w:val="0"/>
      <w:marTop w:val="0"/>
      <w:marBottom w:val="0"/>
      <w:divBdr>
        <w:top w:val="none" w:sz="0" w:space="0" w:color="auto"/>
        <w:left w:val="none" w:sz="0" w:space="0" w:color="auto"/>
        <w:bottom w:val="none" w:sz="0" w:space="0" w:color="auto"/>
        <w:right w:val="none" w:sz="0" w:space="0" w:color="auto"/>
      </w:divBdr>
    </w:div>
    <w:div w:id="1183974897">
      <w:bodyDiv w:val="1"/>
      <w:marLeft w:val="0"/>
      <w:marRight w:val="0"/>
      <w:marTop w:val="0"/>
      <w:marBottom w:val="0"/>
      <w:divBdr>
        <w:top w:val="none" w:sz="0" w:space="0" w:color="auto"/>
        <w:left w:val="none" w:sz="0" w:space="0" w:color="auto"/>
        <w:bottom w:val="none" w:sz="0" w:space="0" w:color="auto"/>
        <w:right w:val="none" w:sz="0" w:space="0" w:color="auto"/>
      </w:divBdr>
    </w:div>
    <w:div w:id="1572348720">
      <w:bodyDiv w:val="1"/>
      <w:marLeft w:val="0"/>
      <w:marRight w:val="0"/>
      <w:marTop w:val="0"/>
      <w:marBottom w:val="0"/>
      <w:divBdr>
        <w:top w:val="none" w:sz="0" w:space="0" w:color="auto"/>
        <w:left w:val="none" w:sz="0" w:space="0" w:color="auto"/>
        <w:bottom w:val="none" w:sz="0" w:space="0" w:color="auto"/>
        <w:right w:val="none" w:sz="0" w:space="0" w:color="auto"/>
      </w:divBdr>
    </w:div>
    <w:div w:id="1838033622">
      <w:bodyDiv w:val="1"/>
      <w:marLeft w:val="0"/>
      <w:marRight w:val="0"/>
      <w:marTop w:val="0"/>
      <w:marBottom w:val="0"/>
      <w:divBdr>
        <w:top w:val="none" w:sz="0" w:space="0" w:color="auto"/>
        <w:left w:val="none" w:sz="0" w:space="0" w:color="auto"/>
        <w:bottom w:val="none" w:sz="0" w:space="0" w:color="auto"/>
        <w:right w:val="none" w:sz="0" w:space="0" w:color="auto"/>
      </w:divBdr>
    </w:div>
    <w:div w:id="1916166988">
      <w:bodyDiv w:val="1"/>
      <w:marLeft w:val="0"/>
      <w:marRight w:val="0"/>
      <w:marTop w:val="0"/>
      <w:marBottom w:val="0"/>
      <w:divBdr>
        <w:top w:val="none" w:sz="0" w:space="0" w:color="auto"/>
        <w:left w:val="none" w:sz="0" w:space="0" w:color="auto"/>
        <w:bottom w:val="none" w:sz="0" w:space="0" w:color="auto"/>
        <w:right w:val="none" w:sz="0" w:space="0" w:color="auto"/>
      </w:divBdr>
    </w:div>
    <w:div w:id="1954827836">
      <w:bodyDiv w:val="1"/>
      <w:marLeft w:val="0"/>
      <w:marRight w:val="0"/>
      <w:marTop w:val="0"/>
      <w:marBottom w:val="0"/>
      <w:divBdr>
        <w:top w:val="none" w:sz="0" w:space="0" w:color="auto"/>
        <w:left w:val="none" w:sz="0" w:space="0" w:color="auto"/>
        <w:bottom w:val="none" w:sz="0" w:space="0" w:color="auto"/>
        <w:right w:val="none" w:sz="0" w:space="0" w:color="auto"/>
      </w:divBdr>
    </w:div>
    <w:div w:id="1960911333">
      <w:bodyDiv w:val="1"/>
      <w:marLeft w:val="0"/>
      <w:marRight w:val="0"/>
      <w:marTop w:val="0"/>
      <w:marBottom w:val="0"/>
      <w:divBdr>
        <w:top w:val="none" w:sz="0" w:space="0" w:color="auto"/>
        <w:left w:val="none" w:sz="0" w:space="0" w:color="auto"/>
        <w:bottom w:val="none" w:sz="0" w:space="0" w:color="auto"/>
        <w:right w:val="none" w:sz="0" w:space="0" w:color="auto"/>
      </w:divBdr>
    </w:div>
    <w:div w:id="2018846177">
      <w:bodyDiv w:val="1"/>
      <w:marLeft w:val="0"/>
      <w:marRight w:val="0"/>
      <w:marTop w:val="0"/>
      <w:marBottom w:val="0"/>
      <w:divBdr>
        <w:top w:val="none" w:sz="0" w:space="0" w:color="auto"/>
        <w:left w:val="none" w:sz="0" w:space="0" w:color="auto"/>
        <w:bottom w:val="none" w:sz="0" w:space="0" w:color="auto"/>
        <w:right w:val="none" w:sz="0" w:space="0" w:color="auto"/>
      </w:divBdr>
    </w:div>
    <w:div w:id="2022512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2017GL07358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ia.margheriti@ingv.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785/022016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492106-7402-4D88-8463-3FD35E0A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7917</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Margheriti</dc:creator>
  <cp:lastModifiedBy>Ale</cp:lastModifiedBy>
  <cp:revision>2</cp:revision>
  <dcterms:created xsi:type="dcterms:W3CDTF">2019-02-14T14:22:00Z</dcterms:created>
  <dcterms:modified xsi:type="dcterms:W3CDTF">2019-02-14T14:22:00Z</dcterms:modified>
</cp:coreProperties>
</file>